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E6" w:rsidRDefault="00D60796" w:rsidP="0000006A">
      <w:pPr>
        <w:pStyle w:val="120"/>
        <w:shd w:val="clear" w:color="auto" w:fill="auto"/>
        <w:spacing w:after="480"/>
        <w:ind w:left="1123" w:right="1321"/>
      </w:pPr>
      <w:bookmarkStart w:id="0" w:name="bookmark0"/>
      <w:r>
        <w:t>Що таке «Україна»</w:t>
      </w:r>
      <w:r w:rsidR="00FB0FC1">
        <w:t>?: землі, люди, партії</w:t>
      </w:r>
      <w:bookmarkEnd w:id="0"/>
    </w:p>
    <w:p w:rsidR="00CC65E6" w:rsidRDefault="00FB0FC1" w:rsidP="00E75648">
      <w:pPr>
        <w:pStyle w:val="30"/>
        <w:shd w:val="clear" w:color="auto" w:fill="auto"/>
        <w:spacing w:before="0" w:after="6" w:line="220" w:lineRule="exact"/>
        <w:ind w:firstLine="1120"/>
      </w:pPr>
      <w:r>
        <w:rPr>
          <w:rStyle w:val="31"/>
        </w:rPr>
        <w:t>«Етнографічні «українські» землі».</w:t>
      </w:r>
    </w:p>
    <w:p w:rsidR="00CC65E6" w:rsidRDefault="00FB0FC1" w:rsidP="00E75648">
      <w:pPr>
        <w:pStyle w:val="30"/>
        <w:shd w:val="clear" w:color="auto" w:fill="auto"/>
        <w:spacing w:before="0" w:after="151" w:line="220" w:lineRule="exact"/>
        <w:ind w:firstLine="1120"/>
      </w:pPr>
      <w:r>
        <w:rPr>
          <w:rStyle w:val="31"/>
        </w:rPr>
        <w:t>Спроба визначити дефініцію</w:t>
      </w:r>
    </w:p>
    <w:p w:rsidR="00517B19" w:rsidRDefault="00FB0FC1" w:rsidP="00517B19">
      <w:pPr>
        <w:pStyle w:val="20"/>
        <w:shd w:val="clear" w:color="auto" w:fill="auto"/>
        <w:spacing w:line="259" w:lineRule="exact"/>
        <w:ind w:right="140" w:firstLine="426"/>
      </w:pPr>
      <w:r>
        <w:t>Цей термін гучно використовувався під час «національно-визвольних змагань» 1917</w:t>
      </w:r>
      <w:r w:rsidR="0028192B">
        <w:rPr>
          <w:lang w:val="en-US"/>
        </w:rPr>
        <w:t>-</w:t>
      </w:r>
      <w:r>
        <w:t>1921 рр. Але, попри широкий ужиток, жоден з дослідників так і не спромігся ані сформулювати суперечливу дефініцію, ані скласти вичерпний їх перелік. Не менш широко використовується він і в сучасних дослідженнях — правду сказати, з тим самим результатом. Автор даного дослідження підтримує точку зору тих науковців, які вживають термін «етнокультурні регіони Руси-України», до яких відносилися (в різні історичні епохи) більше півсотні нетотожних за обставинами історичного правового та культурного розвитку, домінуючої конфесійної приналежності та інших особливостей територій, а саме: Берестейщина, Бойківщина, Бессарабія, Буд- жак, Буковина, Волинь,</w:t>
      </w:r>
      <w:r w:rsidR="0028192B">
        <w:t xml:space="preserve"> Галичина, Гетьманщина, Гуцуль</w:t>
      </w:r>
      <w:r>
        <w:t xml:space="preserve">щина, Донщина, Задунайська Січ, Закарпаття, Запоріжжя, Зелена Україна, Карпатська Україна, Київщина, Кубань, Курщина, Лемківщина, Лівобережна Україна, Малиновий Клин, Мармарощина, </w:t>
      </w:r>
      <w:r w:rsidR="0028192B">
        <w:t>Надбужжя, Наддністрянщина, Над</w:t>
      </w:r>
      <w:r>
        <w:t xml:space="preserve">поріжжя, Надпруття, Надсяння, Надросся, </w:t>
      </w:r>
      <w:r w:rsidR="0028192B">
        <w:t>Н</w:t>
      </w:r>
      <w:r>
        <w:t xml:space="preserve">адчорномор’я, </w:t>
      </w:r>
      <w:proofErr w:type="spellStart"/>
      <w:r>
        <w:t>Перемишлянщина</w:t>
      </w:r>
      <w:proofErr w:type="spellEnd"/>
      <w:r>
        <w:t xml:space="preserve">, Новоросія, Переяславщина, Північне Причорномор’я, Підкарпатська Русь, Підляшшя, Поділля, Подніпров’я, Покуття, Полісся, Полтавщина, Посулля, Приазов’я, Прибужжя, Придністров’я, </w:t>
      </w:r>
      <w:proofErr w:type="spellStart"/>
      <w:r>
        <w:t>Придунав’я</w:t>
      </w:r>
      <w:proofErr w:type="spellEnd"/>
      <w:r>
        <w:t>, Прикарпаття, Пряшівщина, Сірий Клин, Слобожа</w:t>
      </w:r>
      <w:r w:rsidR="0028192B">
        <w:t>нщина, Став</w:t>
      </w:r>
      <w:r>
        <w:t>ропольщина, Стародубщина, Таврія, Терщина, Холмщина (</w:t>
      </w:r>
      <w:proofErr w:type="spellStart"/>
      <w:r>
        <w:t>Забужжя</w:t>
      </w:r>
      <w:proofErr w:type="spellEnd"/>
      <w:r>
        <w:t>), Червона Русь, Чернігівщина.</w:t>
      </w:r>
      <w:r w:rsidR="00517B19">
        <w:t xml:space="preserve"> </w:t>
      </w:r>
    </w:p>
    <w:p w:rsidR="00CC65E6" w:rsidRDefault="00FB0FC1" w:rsidP="00517B19">
      <w:pPr>
        <w:pStyle w:val="20"/>
        <w:shd w:val="clear" w:color="auto" w:fill="auto"/>
        <w:spacing w:line="259" w:lineRule="exact"/>
        <w:ind w:right="140" w:firstLine="426"/>
      </w:pPr>
      <w:r>
        <w:t>«Етнографічні «українські» землі»</w:t>
      </w:r>
      <w:r w:rsidR="00517B19">
        <w:t xml:space="preserve"> </w:t>
      </w:r>
      <w:r>
        <w:t>у складі Російської імперії</w:t>
      </w:r>
      <w:r w:rsidR="00517B19">
        <w:t>.</w:t>
      </w:r>
    </w:p>
    <w:p w:rsidR="00CC65E6" w:rsidRDefault="00FB0FC1" w:rsidP="00E75648">
      <w:pPr>
        <w:pStyle w:val="20"/>
        <w:shd w:val="clear" w:color="auto" w:fill="auto"/>
        <w:spacing w:after="143" w:line="248" w:lineRule="exact"/>
        <w:ind w:left="240" w:right="220" w:firstLine="300"/>
      </w:pPr>
      <w:r>
        <w:t>Станом на 1917 р. в адміністративному відношенні Російська імперія мала у своєму складі 79 губерній, 9 з яких об’єднували більшу частину сучасної України — за виїмком тих земель, які опинилися у складі Австро-Угорської імперії.</w:t>
      </w:r>
    </w:p>
    <w:p w:rsidR="0000006A" w:rsidRDefault="0000006A" w:rsidP="00E75648">
      <w:pPr>
        <w:pStyle w:val="40"/>
        <w:shd w:val="clear" w:color="auto" w:fill="auto"/>
        <w:spacing w:before="0" w:after="98" w:line="220" w:lineRule="exact"/>
        <w:ind w:left="240" w:firstLine="300"/>
        <w:rPr>
          <w:b/>
        </w:rPr>
      </w:pPr>
    </w:p>
    <w:p w:rsidR="00CC65E6" w:rsidRPr="00E75648" w:rsidRDefault="00FB0FC1" w:rsidP="00E75648">
      <w:pPr>
        <w:pStyle w:val="40"/>
        <w:shd w:val="clear" w:color="auto" w:fill="auto"/>
        <w:spacing w:before="0" w:after="98" w:line="220" w:lineRule="exact"/>
        <w:ind w:left="240" w:firstLine="300"/>
        <w:rPr>
          <w:b/>
        </w:rPr>
      </w:pPr>
      <w:r w:rsidRPr="00E75648">
        <w:rPr>
          <w:b/>
        </w:rPr>
        <w:lastRenderedPageBreak/>
        <w:t>Правобережжя в цілому</w:t>
      </w:r>
    </w:p>
    <w:p w:rsidR="00CC65E6" w:rsidRDefault="00FB0FC1" w:rsidP="00E75648">
      <w:pPr>
        <w:pStyle w:val="40"/>
        <w:shd w:val="clear" w:color="auto" w:fill="auto"/>
        <w:spacing w:before="0" w:after="0" w:line="245" w:lineRule="exact"/>
        <w:ind w:left="240" w:right="220" w:firstLine="300"/>
      </w:pPr>
      <w:r>
        <w:rPr>
          <w:rStyle w:val="41"/>
        </w:rPr>
        <w:t xml:space="preserve">Процес правового, адміністративного, політичного, </w:t>
      </w:r>
      <w:proofErr w:type="spellStart"/>
      <w:r>
        <w:rPr>
          <w:rStyle w:val="41"/>
        </w:rPr>
        <w:t>со</w:t>
      </w:r>
      <w:proofErr w:type="spellEnd"/>
      <w:r>
        <w:rPr>
          <w:rStyle w:val="41"/>
        </w:rPr>
        <w:t xml:space="preserve">- </w:t>
      </w:r>
      <w:proofErr w:type="spellStart"/>
      <w:r>
        <w:rPr>
          <w:rStyle w:val="41"/>
        </w:rPr>
        <w:t>ціокультурного</w:t>
      </w:r>
      <w:proofErr w:type="spellEnd"/>
      <w:r>
        <w:rPr>
          <w:rStyle w:val="41"/>
        </w:rPr>
        <w:t xml:space="preserve"> «переформатування» правобережних земель під стандарти, які існували в Російській імперії, докладно вивчив М. </w:t>
      </w:r>
      <w:proofErr w:type="spellStart"/>
      <w:r>
        <w:rPr>
          <w:rStyle w:val="41"/>
        </w:rPr>
        <w:t>Бармак</w:t>
      </w:r>
      <w:proofErr w:type="spellEnd"/>
      <w:r>
        <w:rPr>
          <w:rStyle w:val="41"/>
        </w:rPr>
        <w:t xml:space="preserve">. Дослідник констатував: після окупації Правобережжя наприкінці XVIII ст. </w:t>
      </w:r>
      <w:r>
        <w:t>«довгий час у цьому регіоні діяли різні за походженням джерела права»,</w:t>
      </w:r>
      <w:r>
        <w:rPr>
          <w:rStyle w:val="41"/>
        </w:rPr>
        <w:t xml:space="preserve"> норми яких </w:t>
      </w:r>
      <w:r>
        <w:t>«нерідко суперечили одна одній... Литовський Статут, польські конституції, збірники магдебурзького права і звичаєве право залишалися чинними правовими джерелами, дієвість частини їхніх норм спеціально підтверджувала царська влада своїми указами».</w:t>
      </w:r>
    </w:p>
    <w:p w:rsidR="00CC65E6" w:rsidRDefault="00FB0FC1" w:rsidP="00E75648">
      <w:pPr>
        <w:pStyle w:val="40"/>
        <w:shd w:val="clear" w:color="auto" w:fill="auto"/>
        <w:spacing w:before="0" w:after="0" w:line="245" w:lineRule="exact"/>
        <w:ind w:left="240" w:right="220" w:firstLine="300"/>
      </w:pPr>
      <w:r>
        <w:rPr>
          <w:rStyle w:val="41"/>
        </w:rPr>
        <w:t xml:space="preserve">З дослідження М. </w:t>
      </w:r>
      <w:proofErr w:type="spellStart"/>
      <w:r>
        <w:rPr>
          <w:rStyle w:val="41"/>
        </w:rPr>
        <w:t>Бармака</w:t>
      </w:r>
      <w:proofErr w:type="spellEnd"/>
      <w:r>
        <w:rPr>
          <w:rStyle w:val="41"/>
        </w:rPr>
        <w:t xml:space="preserve"> випливає, що процес інкорпорації цих земель до складу </w:t>
      </w:r>
      <w:proofErr w:type="spellStart"/>
      <w:r>
        <w:rPr>
          <w:rStyle w:val="41"/>
        </w:rPr>
        <w:t>Романовської</w:t>
      </w:r>
      <w:proofErr w:type="spellEnd"/>
      <w:r>
        <w:rPr>
          <w:rStyle w:val="41"/>
        </w:rPr>
        <w:t xml:space="preserve"> монархії мав, як мінімум, чотири етапи. Перший — за часів Катерини II, метою якої було </w:t>
      </w:r>
      <w:r>
        <w:t>«досягнення однорідності й уніфікації»</w:t>
      </w:r>
      <w:r>
        <w:rPr>
          <w:rStyle w:val="41"/>
        </w:rPr>
        <w:t xml:space="preserve"> но- </w:t>
      </w:r>
      <w:proofErr w:type="spellStart"/>
      <w:r>
        <w:rPr>
          <w:rStyle w:val="41"/>
        </w:rPr>
        <w:t>воприєднаних</w:t>
      </w:r>
      <w:proofErr w:type="spellEnd"/>
      <w:r>
        <w:rPr>
          <w:rStyle w:val="41"/>
        </w:rPr>
        <w:t xml:space="preserve"> земель. Правління її сина Павла І </w:t>
      </w:r>
      <w:r>
        <w:t>«характеризувалося більшою повагою до традиційних у прикордонних землях структур».</w:t>
      </w:r>
      <w:r>
        <w:rPr>
          <w:rStyle w:val="41"/>
        </w:rPr>
        <w:t xml:space="preserve"> Розпочаті ним реформи </w:t>
      </w:r>
      <w:r>
        <w:t>«стосувалися всіх губерній Російської імперії, а не були адресно направлені тільки на правобережні українські, хоча... особливе становище цих територій, пов’язане з недавнім їх приєднанням, продовжувало зберігатися».</w:t>
      </w:r>
      <w:r>
        <w:rPr>
          <w:rStyle w:val="41"/>
        </w:rPr>
        <w:t xml:space="preserve"> За часів Олександра І </w:t>
      </w:r>
      <w:proofErr w:type="spellStart"/>
      <w:r>
        <w:rPr>
          <w:rStyle w:val="41"/>
        </w:rPr>
        <w:t>уніфікаційні</w:t>
      </w:r>
      <w:proofErr w:type="spellEnd"/>
      <w:r>
        <w:rPr>
          <w:rStyle w:val="41"/>
        </w:rPr>
        <w:t xml:space="preserve"> тенденції набрали обертів: перед військовим та цивільним керівництвом цих земель були поставлені </w:t>
      </w:r>
      <w:r>
        <w:t>«важливі завдання інкорпорації українських територій у склад Російської імперії шляхом запровадження російської правової та управлінської системи».</w:t>
      </w:r>
      <w:r>
        <w:rPr>
          <w:rStyle w:val="41"/>
        </w:rPr>
        <w:t xml:space="preserve"> Але «цивілізаторська» місія негайно наштовхнулася на реалії життя: </w:t>
      </w:r>
      <w:r>
        <w:t>«незважаючи на те, що російська адміністрація вже функціонувала, Правобережжя України ще</w:t>
      </w:r>
      <w:r w:rsidR="00E75648">
        <w:t xml:space="preserve"> </w:t>
      </w:r>
      <w:r>
        <w:rPr>
          <w:rStyle w:val="23"/>
        </w:rPr>
        <w:t>довгий час перебувало під польським впливом»,</w:t>
      </w:r>
      <w:r>
        <w:t xml:space="preserve"> що значною мірою обумовлювалося </w:t>
      </w:r>
      <w:r>
        <w:rPr>
          <w:rStyle w:val="23"/>
        </w:rPr>
        <w:t xml:space="preserve">«корпоративним устроєм шляхти». </w:t>
      </w:r>
      <w:r>
        <w:t xml:space="preserve">Практично це означало, що </w:t>
      </w:r>
      <w:r>
        <w:rPr>
          <w:rStyle w:val="23"/>
        </w:rPr>
        <w:t>«легітимована шляхта Правобережжя отримала, крім інших, гарантованих «Дарованою грамотою» дворянському стану прав, ще й право формувати кадровий склад багатьох управлінських структур і, зокрема, судових органів</w:t>
      </w:r>
      <w:r>
        <w:t xml:space="preserve">», хоча, зрештою, російській адміністрації цього «атавізму» вдалося позбутися. Перелом настав після поразки польського повстання 1831 р.: Микола І на повну використав нові обставини для подальшого зміцнення імперських позиції у Краї, зокрема для </w:t>
      </w:r>
      <w:r>
        <w:rPr>
          <w:rStyle w:val="23"/>
        </w:rPr>
        <w:t xml:space="preserve">«соціального </w:t>
      </w:r>
      <w:r>
        <w:rPr>
          <w:rStyle w:val="23"/>
        </w:rPr>
        <w:lastRenderedPageBreak/>
        <w:t>знищення правобережної шляхти»</w:t>
      </w:r>
      <w:r>
        <w:t xml:space="preserve"> — основного стану, який становив загрозу </w:t>
      </w:r>
      <w:proofErr w:type="spellStart"/>
      <w:r>
        <w:t>уніфікаційній</w:t>
      </w:r>
      <w:proofErr w:type="spellEnd"/>
      <w:r>
        <w:t xml:space="preserve"> імперській політиці. </w:t>
      </w:r>
      <w:r>
        <w:rPr>
          <w:rStyle w:val="23"/>
        </w:rPr>
        <w:t>«Вся діяльність Миколи І будувалася на принципах централізації, посилення єдиноначальності і бюрократизації».</w:t>
      </w:r>
      <w:r>
        <w:t xml:space="preserve"> Так, зокрема, імператор скасував рештки успадкованої правової системи, радикально реформував за російським зразком адміністративну систему, заснувавши 1832 р. Київське генерал-губернаторство, яке об’єднало всі три правобережні губернії. </w:t>
      </w:r>
      <w:r>
        <w:rPr>
          <w:rStyle w:val="23"/>
        </w:rPr>
        <w:t>«Процес ліквідації правової автономії»</w:t>
      </w:r>
      <w:r>
        <w:t xml:space="preserve"> у Волинській, Київській та </w:t>
      </w:r>
      <w:r>
        <w:rPr>
          <w:lang w:val="ru-RU" w:eastAsia="ru-RU" w:bidi="ru-RU"/>
        </w:rPr>
        <w:t>Подол</w:t>
      </w:r>
      <w:proofErr w:type="spellStart"/>
      <w:r w:rsidR="0028192B">
        <w:t>ьсь</w:t>
      </w:r>
      <w:r>
        <w:t>кій</w:t>
      </w:r>
      <w:proofErr w:type="spellEnd"/>
      <w:r>
        <w:t xml:space="preserve"> губерніях завершився у З</w:t>
      </w:r>
      <w:r w:rsidR="00E75648">
        <w:t>0-</w:t>
      </w:r>
      <w:r>
        <w:t>40-ві роки XIX століття остаточним скасуванням дії всіх норм і положень статуту Великого князівства Литовського</w:t>
      </w:r>
      <w:r>
        <w:rPr>
          <w:vertAlign w:val="superscript"/>
        </w:rPr>
        <w:t>1</w:t>
      </w:r>
      <w:r>
        <w:t>.</w:t>
      </w:r>
    </w:p>
    <w:p w:rsidR="00CC65E6" w:rsidRDefault="00FB0FC1" w:rsidP="00E75648">
      <w:pPr>
        <w:pStyle w:val="40"/>
        <w:shd w:val="clear" w:color="auto" w:fill="auto"/>
        <w:spacing w:before="0" w:after="0" w:line="245" w:lineRule="exact"/>
        <w:ind w:left="180" w:right="220" w:firstLine="320"/>
      </w:pPr>
      <w:r>
        <w:rPr>
          <w:rStyle w:val="41"/>
        </w:rPr>
        <w:t xml:space="preserve">Висновки М. </w:t>
      </w:r>
      <w:proofErr w:type="spellStart"/>
      <w:r>
        <w:rPr>
          <w:rStyle w:val="41"/>
        </w:rPr>
        <w:t>Бармака</w:t>
      </w:r>
      <w:proofErr w:type="spellEnd"/>
      <w:r>
        <w:rPr>
          <w:rStyle w:val="41"/>
        </w:rPr>
        <w:t xml:space="preserve"> цілком узгоджуються з висновками, сформульова</w:t>
      </w:r>
      <w:r w:rsidR="0028192B">
        <w:rPr>
          <w:rStyle w:val="41"/>
        </w:rPr>
        <w:t xml:space="preserve">ними О. </w:t>
      </w:r>
      <w:proofErr w:type="spellStart"/>
      <w:r w:rsidR="0028192B">
        <w:rPr>
          <w:rStyle w:val="41"/>
        </w:rPr>
        <w:t>Комарніцьким</w:t>
      </w:r>
      <w:proofErr w:type="spellEnd"/>
      <w:r w:rsidR="0028192B">
        <w:rPr>
          <w:rStyle w:val="41"/>
        </w:rPr>
        <w:t xml:space="preserve"> та І. </w:t>
      </w:r>
      <w:proofErr w:type="spellStart"/>
      <w:r w:rsidR="0028192B">
        <w:rPr>
          <w:rStyle w:val="41"/>
        </w:rPr>
        <w:t>Вер</w:t>
      </w:r>
      <w:r>
        <w:rPr>
          <w:rStyle w:val="41"/>
        </w:rPr>
        <w:t>ховцевою</w:t>
      </w:r>
      <w:proofErr w:type="spellEnd"/>
      <w:r>
        <w:rPr>
          <w:rStyle w:val="41"/>
        </w:rPr>
        <w:t xml:space="preserve">. Як установив О. </w:t>
      </w:r>
      <w:proofErr w:type="spellStart"/>
      <w:r>
        <w:rPr>
          <w:rStyle w:val="41"/>
        </w:rPr>
        <w:t>Комарніцький</w:t>
      </w:r>
      <w:proofErr w:type="spellEnd"/>
      <w:r>
        <w:rPr>
          <w:rStyle w:val="41"/>
        </w:rPr>
        <w:t xml:space="preserve">, </w:t>
      </w:r>
      <w:r>
        <w:t>«після анексії Правобережжя наприкінці XVIII</w:t>
      </w:r>
      <w:r>
        <w:rPr>
          <w:lang w:val="en-US" w:eastAsia="en-US" w:bidi="en-US"/>
        </w:rPr>
        <w:t xml:space="preserve">cm., </w:t>
      </w:r>
      <w:r>
        <w:t xml:space="preserve">царський уряд головним завданням бачив </w:t>
      </w:r>
      <w:proofErr w:type="spellStart"/>
      <w:r>
        <w:t>поборювання</w:t>
      </w:r>
      <w:proofErr w:type="spellEnd"/>
      <w:r>
        <w:t xml:space="preserve"> польського та українського визвольних рухів. Саме тому, після ліквідації тут державних та адміністративних інститутів Речі Посполитої, у тому числі і місцевого самоврядування, запроваджування нового місцевого самоврядування у вигляді земств відтягували тут упродовж наступних 130років. Під тиском економічних чинників 1911 р. на ці території було поширено дію «Земського уложення» від 1890 р. При цьому новий імперський режим для</w:t>
      </w:r>
      <w:r w:rsidR="00E75648">
        <w:t xml:space="preserve"> </w:t>
      </w:r>
      <w:r>
        <w:t>свого утвердження вирішив зіграти на об'єктивно існуючих по</w:t>
      </w:r>
      <w:r w:rsidR="00E75648">
        <w:t xml:space="preserve">льсько-українських протиріччях. </w:t>
      </w:r>
      <w:r>
        <w:t>Законоположенням про земське самоврядування у Київській, Волинській та Подільській губерніях виборчі права поляків при виборах до земств обмежили; натомість зменшили майновий ценз для українців. Це мало наслідком не стільки збільшення представництва українського населення</w:t>
      </w:r>
      <w:r>
        <w:rPr>
          <w:rStyle w:val="41"/>
          <w:vertAlign w:val="superscript"/>
        </w:rPr>
        <w:t>1 2</w:t>
      </w:r>
      <w:r>
        <w:rPr>
          <w:rStyle w:val="41"/>
        </w:rPr>
        <w:t xml:space="preserve"> </w:t>
      </w:r>
      <w:r>
        <w:t>та зменшення представництва населення польського, скільки підвищення рівня міжнаціональної напруги поміж двома найчисленнішими національними громадами цього краю».</w:t>
      </w:r>
      <w:r>
        <w:rPr>
          <w:rStyle w:val="41"/>
        </w:rPr>
        <w:t xml:space="preserve"> Не менш суперечливими були стосунки і поміж іншими національними громадами — російською, українською та єврейською. </w:t>
      </w:r>
      <w:r>
        <w:t>«Містечка Київської, Подільської, Волинської губерній»</w:t>
      </w:r>
      <w:r>
        <w:rPr>
          <w:rStyle w:val="41"/>
        </w:rPr>
        <w:t xml:space="preserve"> Росії, які донедавна були Київським, Подільським та Брацлавським воєводствами РП, але </w:t>
      </w:r>
      <w:r>
        <w:t>«продовжували залишатися своєр</w:t>
      </w:r>
      <w:r w:rsidR="0028192B">
        <w:t>ідним економічним містком, що з</w:t>
      </w:r>
      <w:r>
        <w:t>’єднував міста із селами»,</w:t>
      </w:r>
      <w:r>
        <w:rPr>
          <w:rStyle w:val="41"/>
        </w:rPr>
        <w:t xml:space="preserve"> та були </w:t>
      </w:r>
      <w:r>
        <w:t>«своєрідним симбіозом передусім жителів єврейської національності та українського селянства».</w:t>
      </w:r>
      <w:r>
        <w:rPr>
          <w:rStyle w:val="41"/>
        </w:rPr>
        <w:t xml:space="preserve"> Дослідник </w:t>
      </w:r>
      <w:r>
        <w:rPr>
          <w:rStyle w:val="41"/>
        </w:rPr>
        <w:lastRenderedPageBreak/>
        <w:t>окремо наголосив: «</w:t>
      </w:r>
      <w:r>
        <w:t>порозуміння українського національного руху та єврейства було надзвичайно актуальною проблемою містечкового суспільства для боротьби із спільним ворогом</w:t>
      </w:r>
      <w:r>
        <w:rPr>
          <w:rStyle w:val="41"/>
        </w:rPr>
        <w:t xml:space="preserve"> — </w:t>
      </w:r>
      <w:r>
        <w:t xml:space="preserve">російським шовінізмом», </w:t>
      </w:r>
      <w:r>
        <w:rPr>
          <w:rStyle w:val="41"/>
        </w:rPr>
        <w:t xml:space="preserve">більше того — це порозуміння мало </w:t>
      </w:r>
      <w:r>
        <w:t>«визначальний»</w:t>
      </w:r>
      <w:r>
        <w:rPr>
          <w:rStyle w:val="41"/>
        </w:rPr>
        <w:t xml:space="preserve"> характер, оскільки </w:t>
      </w:r>
      <w:r>
        <w:t xml:space="preserve">«інші національні меншини були незначними». </w:t>
      </w:r>
      <w:r>
        <w:rPr>
          <w:rStyle w:val="41"/>
        </w:rPr>
        <w:t xml:space="preserve">Інші констатації є такими: </w:t>
      </w:r>
      <w:r>
        <w:t>«суспільна свідомість нацменшин загалом виявилася неготовою для сприйняття української ідеї, що у ряді випадків виливалося у відкриту ворожість»;</w:t>
      </w:r>
      <w:r>
        <w:rPr>
          <w:rStyle w:val="41"/>
        </w:rPr>
        <w:t xml:space="preserve"> єврейські </w:t>
      </w:r>
      <w:r>
        <w:t>«погроми охопили не менш як 188 містечок»; «весь плин Української революції супроводжувався антисемітизмом»</w:t>
      </w:r>
      <w:r>
        <w:rPr>
          <w:vertAlign w:val="superscript"/>
        </w:rPr>
        <w:t>1</w:t>
      </w:r>
      <w:r>
        <w:t>.</w:t>
      </w:r>
    </w:p>
    <w:p w:rsidR="00CC65E6" w:rsidRDefault="00FB0FC1" w:rsidP="00E75648">
      <w:pPr>
        <w:pStyle w:val="20"/>
        <w:shd w:val="clear" w:color="auto" w:fill="auto"/>
        <w:spacing w:line="238" w:lineRule="exact"/>
        <w:ind w:left="180" w:firstLine="300"/>
      </w:pPr>
      <w:r>
        <w:t xml:space="preserve">Говорячи про ситуацію, яка склалася на окупованих польських землях, що потрапили під </w:t>
      </w:r>
      <w:proofErr w:type="spellStart"/>
      <w:r>
        <w:t>романовську</w:t>
      </w:r>
      <w:proofErr w:type="spellEnd"/>
      <w:r>
        <w:t xml:space="preserve"> владу, неможливо абстрагуватися від стосунків по лінії «поляки — русини». Цілісне дослідження Б. </w:t>
      </w:r>
      <w:r>
        <w:rPr>
          <w:lang w:val="ru-RU" w:eastAsia="ru-RU" w:bidi="ru-RU"/>
        </w:rPr>
        <w:t xml:space="preserve">Гудя </w:t>
      </w:r>
      <w:r>
        <w:t>переконливо довело: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5" w:lineRule="exact"/>
        <w:ind w:left="360" w:hanging="360"/>
      </w:pPr>
      <w:r>
        <w:t>польські впливи на землях, інкорпорованих до складу Російської імперії (Київщина, Волинь, Поділля), залишалися всеосяжними аж до 60-х рр. XIX ст.;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5" w:lineRule="exact"/>
        <w:ind w:left="360" w:hanging="360"/>
      </w:pPr>
      <w:r>
        <w:t xml:space="preserve">після скасування кріпацтва (1861) та поразки польського повстання (1863) імперська влада підтримувала високий рівень етнонаціонального конфлікту по лінії </w:t>
      </w:r>
      <w:r>
        <w:rPr>
          <w:rStyle w:val="23"/>
        </w:rPr>
        <w:t>«українське село»</w:t>
      </w:r>
      <w:r>
        <w:t xml:space="preserve"> — </w:t>
      </w:r>
      <w:r>
        <w:rPr>
          <w:rStyle w:val="23"/>
        </w:rPr>
        <w:t>«польський поміщицький двір»;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5" w:lineRule="exact"/>
        <w:ind w:left="360" w:hanging="360"/>
      </w:pPr>
      <w:r>
        <w:t>економічне домінування польських землевласників над українським селянством зберігалося;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5" w:lineRule="exact"/>
        <w:ind w:left="360" w:hanging="360"/>
      </w:pPr>
      <w:r>
        <w:t xml:space="preserve">польсько-український </w:t>
      </w:r>
      <w:proofErr w:type="spellStart"/>
      <w:r>
        <w:t>селянсько</w:t>
      </w:r>
      <w:proofErr w:type="spellEnd"/>
      <w:r>
        <w:t xml:space="preserve">-поміщицький конфлікт на Правобережжі сягнув апогею у роки Першої світової війни й </w:t>
      </w:r>
      <w:r>
        <w:rPr>
          <w:rStyle w:val="23"/>
        </w:rPr>
        <w:t>«Української національної революції 1917-1921 рр.»;</w:t>
      </w:r>
    </w:p>
    <w:p w:rsidR="00CC65E6" w:rsidRDefault="00FB0FC1" w:rsidP="00E75648">
      <w:pPr>
        <w:pStyle w:val="4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hanging="360"/>
      </w:pPr>
      <w:r>
        <w:t xml:space="preserve">«масовий </w:t>
      </w:r>
      <w:proofErr w:type="spellStart"/>
      <w:r>
        <w:t>солдатсько</w:t>
      </w:r>
      <w:proofErr w:type="spellEnd"/>
      <w:r>
        <w:t>-селянський аграрний рух на Київщині, Волині й Поділлі переважно став наслідком цілеспрямованої більшовицької агітації і в більшості своїй мав соціальний, погромницький характер... Погромниками були здебільшого солдати і селяни-українці, а погромленими</w:t>
      </w:r>
      <w:r>
        <w:rPr>
          <w:rStyle w:val="41"/>
        </w:rPr>
        <w:t xml:space="preserve"> — </w:t>
      </w:r>
      <w:r>
        <w:t>теж здебільшого — поміщики-поляки»;</w:t>
      </w:r>
    </w:p>
    <w:p w:rsidR="00CC65E6" w:rsidRDefault="00FB0FC1" w:rsidP="00E75648">
      <w:pPr>
        <w:pStyle w:val="4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hanging="360"/>
      </w:pPr>
      <w:proofErr w:type="spellStart"/>
      <w:r>
        <w:rPr>
          <w:rStyle w:val="41"/>
        </w:rPr>
        <w:t>селянсько</w:t>
      </w:r>
      <w:proofErr w:type="spellEnd"/>
      <w:r>
        <w:rPr>
          <w:rStyle w:val="41"/>
        </w:rPr>
        <w:t xml:space="preserve">-поміщицький </w:t>
      </w:r>
      <w:proofErr w:type="spellStart"/>
      <w:r>
        <w:rPr>
          <w:rStyle w:val="41"/>
        </w:rPr>
        <w:t>етносоціальний</w:t>
      </w:r>
      <w:proofErr w:type="spellEnd"/>
      <w:r>
        <w:rPr>
          <w:rStyle w:val="41"/>
        </w:rPr>
        <w:t xml:space="preserve"> конфлікт осені 1917 — весни 1918 рр. </w:t>
      </w:r>
      <w:r>
        <w:t>«без перебільшення можна назвати війною», «перевага в силі виразно була на боці селянства»;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5" w:lineRule="exact"/>
        <w:ind w:left="360" w:hanging="360"/>
      </w:pPr>
      <w:r>
        <w:t xml:space="preserve">польсько-український конфлікт з етнонаціонального переріс в </w:t>
      </w:r>
      <w:proofErr w:type="spellStart"/>
      <w:r>
        <w:t>етнополітичний</w:t>
      </w:r>
      <w:proofErr w:type="spellEnd"/>
      <w:r>
        <w:t>;</w:t>
      </w:r>
    </w:p>
    <w:p w:rsidR="00CC65E6" w:rsidRDefault="00FB0FC1" w:rsidP="00E75648">
      <w:pPr>
        <w:pStyle w:val="4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hanging="360"/>
      </w:pPr>
      <w:r>
        <w:t>«можна твердити з високою долею правдоподібності»,</w:t>
      </w:r>
      <w:r>
        <w:rPr>
          <w:rStyle w:val="41"/>
        </w:rPr>
        <w:t xml:space="preserve"> що </w:t>
      </w:r>
      <w:r>
        <w:t xml:space="preserve">«процес захоплення і знищення поміщицьких маєтків був заздалегідь запланований і керований з одного центру»: </w:t>
      </w:r>
      <w:r>
        <w:rPr>
          <w:rStyle w:val="41"/>
        </w:rPr>
        <w:t xml:space="preserve">перший масовий погром на Волині, який спровокував </w:t>
      </w:r>
      <w:r>
        <w:lastRenderedPageBreak/>
        <w:t>«могутню лавину аграрного селянського руху»,</w:t>
      </w:r>
      <w:r>
        <w:rPr>
          <w:rStyle w:val="41"/>
        </w:rPr>
        <w:t xml:space="preserve"> на початку жовтня 1917 р. вчинили солдати 2-го гвардійського корпусу Південно-Західного фронту, який очолювала більшовичка Є.Б. Бош;</w:t>
      </w:r>
    </w:p>
    <w:p w:rsidR="00CC65E6" w:rsidRDefault="00FB0FC1" w:rsidP="00E75648">
      <w:pPr>
        <w:pStyle w:val="4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5" w:lineRule="exact"/>
        <w:ind w:left="360" w:hanging="360"/>
      </w:pPr>
      <w:r>
        <w:rPr>
          <w:rStyle w:val="41"/>
        </w:rPr>
        <w:t xml:space="preserve">саме </w:t>
      </w:r>
      <w:r>
        <w:t>«після цього погрому ситуація на Правобережжі виходить з-під контролю Центральної Ради, а її III та IV Універсали радикальністю своїх положень в земельному питанні сприяли посиленню безпорядків на селі»;</w:t>
      </w:r>
    </w:p>
    <w:p w:rsidR="00CC65E6" w:rsidRDefault="00FB0FC1" w:rsidP="00E75648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spacing w:line="245" w:lineRule="exact"/>
        <w:ind w:left="360" w:hanging="360"/>
      </w:pPr>
      <w:r>
        <w:t>жертвами погромів стали 85% усіх польських маєтків на Київщині, Волині, Поділлі;</w:t>
      </w:r>
    </w:p>
    <w:p w:rsidR="00CC65E6" w:rsidRDefault="00FB0FC1" w:rsidP="00E75648">
      <w:pPr>
        <w:pStyle w:val="20"/>
        <w:shd w:val="clear" w:color="auto" w:fill="auto"/>
        <w:spacing w:line="234" w:lineRule="exact"/>
        <w:ind w:right="220"/>
        <w:jc w:val="center"/>
      </w:pPr>
      <w:r>
        <w:t>— зупинити погроми вдалося лише після підписання Брест-</w:t>
      </w:r>
    </w:p>
    <w:p w:rsidR="00CC65E6" w:rsidRDefault="00FB0FC1" w:rsidP="00E75648">
      <w:pPr>
        <w:pStyle w:val="40"/>
        <w:shd w:val="clear" w:color="auto" w:fill="auto"/>
        <w:spacing w:before="0" w:after="0" w:line="234" w:lineRule="exact"/>
        <w:ind w:right="220" w:firstLine="0"/>
        <w:jc w:val="right"/>
      </w:pPr>
      <w:r>
        <w:rPr>
          <w:rStyle w:val="41"/>
        </w:rPr>
        <w:t xml:space="preserve">Литовської мирової угоди </w:t>
      </w:r>
      <w:r>
        <w:t>і «вступу на Правобережжя</w:t>
      </w:r>
    </w:p>
    <w:p w:rsidR="00CC65E6" w:rsidRDefault="00FB0FC1" w:rsidP="00E75648">
      <w:pPr>
        <w:pStyle w:val="40"/>
        <w:shd w:val="clear" w:color="auto" w:fill="auto"/>
        <w:spacing w:before="0" w:after="71" w:line="234" w:lineRule="exact"/>
        <w:ind w:left="260" w:firstLine="300"/>
      </w:pPr>
      <w:r>
        <w:t>австро-німецького окупаційного війська»'.</w:t>
      </w:r>
    </w:p>
    <w:p w:rsidR="00CC65E6" w:rsidRDefault="00FB0FC1" w:rsidP="00E75648">
      <w:pPr>
        <w:pStyle w:val="40"/>
        <w:shd w:val="clear" w:color="auto" w:fill="auto"/>
        <w:spacing w:before="0" w:after="0" w:line="220" w:lineRule="exact"/>
        <w:ind w:left="260" w:firstLine="300"/>
      </w:pPr>
      <w:r>
        <w:t>Київщина та Волинь</w:t>
      </w:r>
    </w:p>
    <w:p w:rsidR="00CC65E6" w:rsidRDefault="00FB0FC1" w:rsidP="00E75648">
      <w:pPr>
        <w:pStyle w:val="20"/>
        <w:shd w:val="clear" w:color="auto" w:fill="auto"/>
        <w:spacing w:line="234" w:lineRule="exact"/>
        <w:ind w:left="260" w:right="220" w:firstLine="300"/>
      </w:pPr>
      <w:r>
        <w:t xml:space="preserve">Упродовж століть ці землі входили до складу об'єднаної </w:t>
      </w:r>
      <w:proofErr w:type="spellStart"/>
      <w:r>
        <w:t>литовсько</w:t>
      </w:r>
      <w:proofErr w:type="spellEnd"/>
      <w:r>
        <w:t xml:space="preserve">-польської держави — Великого князівства Литовського (далі — ВКЛ) (з 1569 р. — Речі Посполитої), були складовою, інтегральною частиною ВКЛ/РП. Упродовж століть, навіть у XVII ст. східний кордон європейського «світу-економіки» проходив східним кордоном РП. За абсолютно точним та вичерпним визначенням </w:t>
      </w:r>
      <w:proofErr w:type="spellStart"/>
      <w:r>
        <w:rPr>
          <w:lang w:val="ru-RU" w:eastAsia="ru-RU" w:bidi="ru-RU"/>
        </w:rPr>
        <w:t>Фернана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Броделя</w:t>
      </w:r>
      <w:proofErr w:type="spellEnd"/>
      <w:r>
        <w:rPr>
          <w:lang w:val="ru-RU" w:eastAsia="ru-RU" w:bidi="ru-RU"/>
        </w:rPr>
        <w:t xml:space="preserve">, </w:t>
      </w:r>
      <w:r>
        <w:t xml:space="preserve">на схід від цього кордону починався </w:t>
      </w:r>
      <w:r>
        <w:rPr>
          <w:rStyle w:val="23"/>
        </w:rPr>
        <w:t xml:space="preserve">«кінець світу» </w:t>
      </w:r>
      <w:r>
        <w:t xml:space="preserve">для кожного європейця — </w:t>
      </w:r>
      <w:r>
        <w:rPr>
          <w:rStyle w:val="23"/>
        </w:rPr>
        <w:t>«дика, болотиста, пустинна»</w:t>
      </w:r>
      <w:r w:rsidR="00E75648">
        <w:rPr>
          <w:rStyle w:val="23"/>
          <w:vertAlign w:val="superscript"/>
        </w:rPr>
        <w:t xml:space="preserve">1 </w:t>
      </w:r>
      <w:r>
        <w:t>Московська держава.</w:t>
      </w:r>
    </w:p>
    <w:p w:rsidR="00CC65E6" w:rsidRDefault="00FB0FC1" w:rsidP="00E75648">
      <w:pPr>
        <w:pStyle w:val="40"/>
        <w:shd w:val="clear" w:color="auto" w:fill="auto"/>
        <w:spacing w:before="0" w:after="0" w:line="234" w:lineRule="exact"/>
        <w:ind w:left="260" w:right="220" w:firstLine="300"/>
      </w:pPr>
      <w:r>
        <w:rPr>
          <w:rStyle w:val="41"/>
        </w:rPr>
        <w:t xml:space="preserve">Київщина та Волинь, як частина цивілізованого світу, як і вся «двоєдина» держава трьох народів — литовців, поляків та русинів, управлялися на підставі писаного права — Статуту ВКЛ та </w:t>
      </w:r>
      <w:r>
        <w:t>«Уставних земських грамот</w:t>
      </w:r>
      <w:r>
        <w:rPr>
          <w:rStyle w:val="41"/>
        </w:rPr>
        <w:t xml:space="preserve"> — </w:t>
      </w:r>
      <w:r>
        <w:t>законодавчих текстів судово-адміністративного,</w:t>
      </w:r>
      <w:r w:rsidR="0028192B">
        <w:t xml:space="preserve"> </w:t>
      </w:r>
      <w:r>
        <w:t>публічно-правового, приватно</w:t>
      </w:r>
      <w:r w:rsidR="0028192B">
        <w:t xml:space="preserve">- </w:t>
      </w:r>
      <w:r>
        <w:t>правового та соціально-економічного характеру»,</w:t>
      </w:r>
      <w:r>
        <w:rPr>
          <w:rStyle w:val="41"/>
        </w:rPr>
        <w:t xml:space="preserve"> які докладно проаналізовані в дослідженні Д. </w:t>
      </w:r>
      <w:proofErr w:type="spellStart"/>
      <w:r>
        <w:rPr>
          <w:rStyle w:val="41"/>
          <w:lang w:val="ru-RU" w:eastAsia="ru-RU" w:bidi="ru-RU"/>
        </w:rPr>
        <w:t>Ващука</w:t>
      </w:r>
      <w:proofErr w:type="spellEnd"/>
      <w:r>
        <w:rPr>
          <w:rStyle w:val="41"/>
          <w:lang w:val="ru-RU" w:eastAsia="ru-RU" w:bidi="ru-RU"/>
        </w:rPr>
        <w:t xml:space="preserve">. </w:t>
      </w:r>
      <w:r>
        <w:rPr>
          <w:rStyle w:val="41"/>
        </w:rPr>
        <w:t xml:space="preserve">Автор відзначив </w:t>
      </w:r>
      <w:r>
        <w:t>«різноманітні, насамперед майнові, підтвердні (тобто такі, які підтверджували минулі привілеї) та посадові привілеї шляхти»,</w:t>
      </w:r>
      <w:r>
        <w:rPr>
          <w:rStyle w:val="41"/>
        </w:rPr>
        <w:t xml:space="preserve"> якими вона користувалася принаймні </w:t>
      </w:r>
      <w:r>
        <w:t xml:space="preserve">«з часів Великого князя Литовського </w:t>
      </w:r>
      <w:r>
        <w:rPr>
          <w:lang w:val="ru-RU" w:eastAsia="ru-RU" w:bidi="ru-RU"/>
        </w:rPr>
        <w:t xml:space="preserve">Казимира </w:t>
      </w:r>
      <w:proofErr w:type="spellStart"/>
      <w:r>
        <w:t>Ягеллончика</w:t>
      </w:r>
      <w:proofErr w:type="spellEnd"/>
      <w:r>
        <w:t>, тобто з 1440 р. (Київщина) та 1452 р. (Волинь)».</w:t>
      </w:r>
      <w:r>
        <w:rPr>
          <w:rStyle w:val="41"/>
        </w:rPr>
        <w:t xml:space="preserve"> До слова, практика надання привілеїв цілим регіонам/областям на теренах ВКЛ набувала поширення з другої половини XV ст.; </w:t>
      </w:r>
      <w:r>
        <w:t>«на цей час в деяких статтях привілеїв залишалися впливи Руської правди», «багато судових справ розв</w:t>
      </w:r>
      <w:r w:rsidR="0028192B">
        <w:t>’я</w:t>
      </w:r>
      <w:r>
        <w:t>зувалося згідно норм звичаєвого права».</w:t>
      </w:r>
    </w:p>
    <w:p w:rsidR="0028192B" w:rsidRDefault="0028192B" w:rsidP="00E75648">
      <w:pPr>
        <w:pStyle w:val="40"/>
        <w:shd w:val="clear" w:color="auto" w:fill="auto"/>
        <w:spacing w:before="0" w:after="31" w:line="220" w:lineRule="exact"/>
        <w:ind w:left="180" w:firstLine="300"/>
        <w:rPr>
          <w:b/>
        </w:rPr>
      </w:pPr>
    </w:p>
    <w:p w:rsidR="0028192B" w:rsidRDefault="0028192B" w:rsidP="00E75648">
      <w:pPr>
        <w:pStyle w:val="40"/>
        <w:shd w:val="clear" w:color="auto" w:fill="auto"/>
        <w:spacing w:before="0" w:after="31" w:line="220" w:lineRule="exact"/>
        <w:ind w:left="180" w:firstLine="300"/>
        <w:rPr>
          <w:b/>
        </w:rPr>
      </w:pPr>
    </w:p>
    <w:p w:rsidR="00CC65E6" w:rsidRPr="00E75648" w:rsidRDefault="00FB0FC1" w:rsidP="00E75648">
      <w:pPr>
        <w:pStyle w:val="40"/>
        <w:shd w:val="clear" w:color="auto" w:fill="auto"/>
        <w:spacing w:before="0" w:after="31" w:line="220" w:lineRule="exact"/>
        <w:ind w:left="180" w:firstLine="300"/>
        <w:rPr>
          <w:b/>
        </w:rPr>
      </w:pPr>
      <w:r w:rsidRPr="00E75648">
        <w:rPr>
          <w:b/>
        </w:rPr>
        <w:lastRenderedPageBreak/>
        <w:t>Поділля</w:t>
      </w:r>
    </w:p>
    <w:p w:rsidR="00CC65E6" w:rsidRDefault="00FB0FC1" w:rsidP="00E75648">
      <w:pPr>
        <w:pStyle w:val="40"/>
        <w:shd w:val="clear" w:color="auto" w:fill="auto"/>
        <w:spacing w:before="0" w:after="0" w:line="241" w:lineRule="exact"/>
        <w:ind w:left="180" w:right="260" w:firstLine="300"/>
      </w:pPr>
      <w:r>
        <w:rPr>
          <w:rStyle w:val="41"/>
        </w:rPr>
        <w:t>Особливості розвитку цього регіону знаходимо у дисертаційному дослідженні А. Скрипник. На території окупованих Брацлавського та Подільського воєводств були утворені відпові</w:t>
      </w:r>
      <w:r w:rsidR="0028192B">
        <w:rPr>
          <w:rStyle w:val="41"/>
        </w:rPr>
        <w:t xml:space="preserve">дно Брацлавська губернія та </w:t>
      </w:r>
      <w:proofErr w:type="spellStart"/>
      <w:r w:rsidR="0028192B">
        <w:rPr>
          <w:rStyle w:val="41"/>
        </w:rPr>
        <w:t>Кам</w:t>
      </w:r>
      <w:r>
        <w:rPr>
          <w:rStyle w:val="41"/>
        </w:rPr>
        <w:t>’янецька</w:t>
      </w:r>
      <w:proofErr w:type="spellEnd"/>
      <w:r>
        <w:rPr>
          <w:rStyle w:val="41"/>
        </w:rPr>
        <w:t xml:space="preserve"> область. Процеси становлення адміністративних формацій на цих землях </w:t>
      </w:r>
      <w:r>
        <w:t>«супроводжувалися певним нівелюванням національних особливостей під демагогічними гаслами єдності походження і спільної релігійної приналежності з українцями та намаганням залучення місцевої польської шляхти до кола російського дворянства».</w:t>
      </w:r>
      <w:r>
        <w:rPr>
          <w:rStyle w:val="41"/>
        </w:rPr>
        <w:t xml:space="preserve"> Одночасно </w:t>
      </w:r>
      <w:r>
        <w:t>«заміна владних структур Речі Посполитої та поширення російської державності у краї із самого початку забезпечувалися винятково адміністративними заходами</w:t>
      </w:r>
      <w:r>
        <w:rPr>
          <w:rStyle w:val="41"/>
        </w:rPr>
        <w:t xml:space="preserve">», а </w:t>
      </w:r>
      <w:r>
        <w:t xml:space="preserve">«запровадження загальноросійських форм місцевого державного управління на </w:t>
      </w:r>
      <w:proofErr w:type="spellStart"/>
      <w:r>
        <w:t>новоприєднаних</w:t>
      </w:r>
      <w:proofErr w:type="spellEnd"/>
      <w:r>
        <w:t xml:space="preserve"> територіях з самого початку показало їх певну недосконалість та невідповідність місцевим умовам».</w:t>
      </w:r>
      <w:r>
        <w:rPr>
          <w:rStyle w:val="41"/>
        </w:rPr>
        <w:t xml:space="preserve"> Наслідок національної та інших форм уніфікації був таким: </w:t>
      </w:r>
      <w:r>
        <w:t>«соціально-економічні та політичні особливості Поділля»,</w:t>
      </w:r>
      <w:r>
        <w:rPr>
          <w:rStyle w:val="41"/>
        </w:rPr>
        <w:t xml:space="preserve"> по-перше, </w:t>
      </w:r>
      <w:r>
        <w:t>«не дозволили створити повноцінну систе</w:t>
      </w:r>
      <w:r w:rsidR="00A44241">
        <w:t>му управління за загальноросій</w:t>
      </w:r>
      <w:r>
        <w:t>ським зразком»,</w:t>
      </w:r>
      <w:r>
        <w:rPr>
          <w:rStyle w:val="41"/>
        </w:rPr>
        <w:t xml:space="preserve"> а по-друге, </w:t>
      </w:r>
      <w:r>
        <w:t>«попри всі зусилля місцевої імперської бюрократії, вона сама опинилася під впливом шляхти».</w:t>
      </w:r>
      <w:r>
        <w:rPr>
          <w:rStyle w:val="41"/>
        </w:rPr>
        <w:t xml:space="preserve"> Ситуація для місцевого населення різко погіршилася після повстання 1830—1831 рр.: </w:t>
      </w:r>
      <w:r>
        <w:t xml:space="preserve">«самодержавство взяло курс на цілеспрямовану асиміляцію Поділля. Край управлявся на підставі «положення» 1775 р. та затверджених штатних розписів у </w:t>
      </w:r>
      <w:r>
        <w:rPr>
          <w:lang w:val="ru-RU" w:eastAsia="ru-RU" w:bidi="ru-RU"/>
        </w:rPr>
        <w:t xml:space="preserve">«Своде законов Российской Империи». </w:t>
      </w:r>
      <w:r>
        <w:rPr>
          <w:rStyle w:val="41"/>
          <w:lang w:val="ru-RU" w:eastAsia="ru-RU" w:bidi="ru-RU"/>
        </w:rPr>
        <w:t xml:space="preserve">3 </w:t>
      </w:r>
      <w:r>
        <w:rPr>
          <w:lang w:val="ru-RU" w:eastAsia="ru-RU" w:bidi="ru-RU"/>
        </w:rPr>
        <w:t xml:space="preserve">«початком </w:t>
      </w:r>
      <w:r>
        <w:t xml:space="preserve">другої половини XIX </w:t>
      </w:r>
      <w:r>
        <w:rPr>
          <w:lang w:val="en-US" w:eastAsia="en-US" w:bidi="en-US"/>
        </w:rPr>
        <w:t xml:space="preserve">cm. </w:t>
      </w:r>
      <w:r>
        <w:t xml:space="preserve">зовнішні та внутрішньополітичні чинники </w:t>
      </w:r>
      <w:proofErr w:type="gramStart"/>
      <w:r>
        <w:t>п</w:t>
      </w:r>
      <w:proofErr w:type="gramEnd"/>
      <w:r>
        <w:t>ідвищили соціально-економічну напругу в краї. Головними причинами були сподівання польської шляхти на відновлення національної держави</w:t>
      </w:r>
      <w:r>
        <w:rPr>
          <w:rStyle w:val="41"/>
        </w:rPr>
        <w:t xml:space="preserve"> (тобто РП. — </w:t>
      </w:r>
      <w:r>
        <w:t>Д.Я.) і підготовка до скасування кріпацтва»,</w:t>
      </w:r>
      <w:r>
        <w:rPr>
          <w:rStyle w:val="41"/>
        </w:rPr>
        <w:t xml:space="preserve"> а під час збройних заворушень 1905—1907 рр. </w:t>
      </w:r>
      <w:r>
        <w:t xml:space="preserve">«зберегти загальний контроль над ситуацією та врятувати від знищення місцевий державний апарат Російської імперії вдалося тільки за допомогою силових заходів'. </w:t>
      </w:r>
    </w:p>
    <w:p w:rsidR="00E75648" w:rsidRDefault="00E75648" w:rsidP="00E75648">
      <w:pPr>
        <w:pStyle w:val="40"/>
        <w:shd w:val="clear" w:color="auto" w:fill="auto"/>
        <w:spacing w:before="0" w:after="0" w:line="220" w:lineRule="exact"/>
        <w:ind w:left="140" w:firstLine="300"/>
        <w:rPr>
          <w:b/>
        </w:rPr>
      </w:pPr>
    </w:p>
    <w:p w:rsidR="00CC65E6" w:rsidRPr="00E75648" w:rsidRDefault="00FB0FC1" w:rsidP="00E75648">
      <w:pPr>
        <w:pStyle w:val="40"/>
        <w:shd w:val="clear" w:color="auto" w:fill="auto"/>
        <w:spacing w:before="0" w:after="0" w:line="220" w:lineRule="exact"/>
        <w:ind w:left="140" w:firstLine="300"/>
        <w:rPr>
          <w:b/>
        </w:rPr>
      </w:pPr>
      <w:r w:rsidRPr="00E75648">
        <w:rPr>
          <w:b/>
        </w:rPr>
        <w:t>Катеринославська, Херсонська,</w:t>
      </w:r>
    </w:p>
    <w:p w:rsidR="00CC65E6" w:rsidRPr="00E75648" w:rsidRDefault="00FB0FC1" w:rsidP="00E75648">
      <w:pPr>
        <w:pStyle w:val="40"/>
        <w:shd w:val="clear" w:color="auto" w:fill="auto"/>
        <w:spacing w:before="0" w:after="41" w:line="220" w:lineRule="exact"/>
        <w:ind w:left="140" w:firstLine="300"/>
        <w:rPr>
          <w:b/>
        </w:rPr>
      </w:pPr>
      <w:r w:rsidRPr="00E75648">
        <w:rPr>
          <w:b/>
        </w:rPr>
        <w:t>Таврійська губернії</w:t>
      </w:r>
    </w:p>
    <w:p w:rsidR="00CC65E6" w:rsidRDefault="00FB0FC1" w:rsidP="00E75648">
      <w:pPr>
        <w:pStyle w:val="40"/>
        <w:shd w:val="clear" w:color="auto" w:fill="auto"/>
        <w:spacing w:before="0" w:after="0" w:line="241" w:lineRule="exact"/>
        <w:ind w:left="140" w:right="140" w:firstLine="300"/>
      </w:pPr>
      <w:r>
        <w:rPr>
          <w:rStyle w:val="41"/>
        </w:rPr>
        <w:t xml:space="preserve">Владу на території цих </w:t>
      </w:r>
      <w:r>
        <w:rPr>
          <w:rStyle w:val="42"/>
        </w:rPr>
        <w:t xml:space="preserve">новоросійських, а не окупованих </w:t>
      </w:r>
      <w:r>
        <w:rPr>
          <w:rStyle w:val="41"/>
        </w:rPr>
        <w:t xml:space="preserve">внаслідок розділу РП землях (підкреслено нами. — </w:t>
      </w:r>
      <w:r>
        <w:t xml:space="preserve">Д.Я.) «до другої половини XIX </w:t>
      </w:r>
      <w:r>
        <w:rPr>
          <w:lang w:val="en-US" w:eastAsia="en-US" w:bidi="en-US"/>
        </w:rPr>
        <w:t xml:space="preserve">cm. </w:t>
      </w:r>
      <w:r>
        <w:t xml:space="preserve">здійснював окремий генерал- губернатор, а коли інституція генерал-губернаторства була </w:t>
      </w:r>
      <w:r>
        <w:lastRenderedPageBreak/>
        <w:t>ліквідована, запроваджено губерніальний устрій (Катеринославська, Херсонська та Таврійська губернії, які були прирівняні до «внутрішніх губерній» Росії)».</w:t>
      </w:r>
      <w:r>
        <w:rPr>
          <w:rStyle w:val="41"/>
        </w:rPr>
        <w:t xml:space="preserve"> Однак і тут, навіть на цих землях, які ніколи не знали польських та литовських впливів у тому обсязі, як це було на Правобережжі сучасної України, </w:t>
      </w:r>
      <w:r>
        <w:t>«імперська політика, спрямована на інтеграцію регіону до корінної російської території», провалилася, «у цілому інтеграційні заходи імперського уряду на Півдні зазнали краху».</w:t>
      </w:r>
      <w:r>
        <w:rPr>
          <w:rStyle w:val="41"/>
        </w:rPr>
        <w:t xml:space="preserve"> 1917 року </w:t>
      </w:r>
      <w:r>
        <w:t>«на відміну від Російської революції, основною метою якої була зміна політичного режиму, Українська революція була покликана створити державу для народу, який перебував у стадії перетворення на модерну націю»; «...більшість жителів великих міст регіону не підтримали політичну програму Центральної Ради;</w:t>
      </w:r>
      <w:bookmarkStart w:id="1" w:name="_GoBack"/>
      <w:bookmarkEnd w:id="1"/>
      <w:r>
        <w:t xml:space="preserve"> зберігся соціокультурний розкол між містом і селом»!</w:t>
      </w:r>
    </w:p>
    <w:p w:rsidR="00CC65E6" w:rsidRDefault="00FB0FC1" w:rsidP="00E75648">
      <w:pPr>
        <w:pStyle w:val="40"/>
        <w:shd w:val="clear" w:color="auto" w:fill="auto"/>
        <w:spacing w:before="0" w:after="0" w:line="241" w:lineRule="exact"/>
        <w:ind w:left="140" w:right="140" w:firstLine="300"/>
      </w:pPr>
      <w:r>
        <w:rPr>
          <w:rStyle w:val="41"/>
        </w:rPr>
        <w:t xml:space="preserve">Якщо говорити сухою мовою цифр, а саме цей підхід запропонував В. </w:t>
      </w:r>
      <w:proofErr w:type="spellStart"/>
      <w:r>
        <w:rPr>
          <w:rStyle w:val="41"/>
        </w:rPr>
        <w:t>Гвоздик</w:t>
      </w:r>
      <w:proofErr w:type="spellEnd"/>
      <w:r>
        <w:rPr>
          <w:rStyle w:val="41"/>
        </w:rPr>
        <w:t xml:space="preserve">, то слід узяти до уваги, що </w:t>
      </w:r>
      <w:r>
        <w:t>«на території Катеринославської, Таврійської та Херсонської губерній проживало 7млн людності, тобто четверта частина «</w:t>
      </w:r>
      <w:proofErr w:type="spellStart"/>
      <w:r>
        <w:t>підросійської</w:t>
      </w:r>
      <w:proofErr w:type="spellEnd"/>
      <w:r>
        <w:t>» України, при цьому 5,5 млн становили сільське населення. Національний розподіл був таким: 71% — українці, 13%</w:t>
      </w:r>
      <w:r>
        <w:rPr>
          <w:rStyle w:val="41"/>
        </w:rPr>
        <w:t xml:space="preserve"> — </w:t>
      </w:r>
      <w:r>
        <w:t>росіяни, решта — німці, молдавани, євреї, болгари, греки. У містах національний склад був іншим: від 66% росіян у Миколаєві, до 25% — в Олександрівську».</w:t>
      </w:r>
      <w:r>
        <w:rPr>
          <w:rStyle w:val="41"/>
        </w:rPr>
        <w:t xml:space="preserve"> Висновок: </w:t>
      </w:r>
      <w:r>
        <w:t>«звідси стає зрозумілим упереджене, а інколи</w:t>
      </w:r>
      <w:r>
        <w:rPr>
          <w:rStyle w:val="41"/>
        </w:rPr>
        <w:t xml:space="preserve"> — </w:t>
      </w:r>
      <w:r>
        <w:t>вороже ставлення більшості мешканців південноукраїнських міст до питань українського державотворення»; «соціальна напруга тут була значно меншою, ніж в інших регіонах Російської держави»; «тут дуже тісно і своєрідн</w:t>
      </w:r>
      <w:r w:rsidR="00E75648">
        <w:t>о переплелися соціальний та на</w:t>
      </w:r>
      <w:r>
        <w:t>ціональний чинники революції; жоден з них не був однозначно домінуючим»</w:t>
      </w:r>
      <w:r>
        <w:rPr>
          <w:vertAlign w:val="superscript"/>
        </w:rPr>
        <w:t>1</w:t>
      </w:r>
      <w:r>
        <w:t>.</w:t>
      </w:r>
    </w:p>
    <w:p w:rsidR="00CC65E6" w:rsidRDefault="00FB0FC1" w:rsidP="00E75648">
      <w:pPr>
        <w:pStyle w:val="20"/>
        <w:shd w:val="clear" w:color="auto" w:fill="auto"/>
        <w:ind w:left="140" w:right="140" w:firstLine="300"/>
      </w:pPr>
      <w:r>
        <w:rPr>
          <w:rStyle w:val="23"/>
        </w:rPr>
        <w:t>«Упереджене ставлення»</w:t>
      </w:r>
      <w:r>
        <w:t xml:space="preserve"> громадян Російської республіки — мешканців південних губерній «українських національно-визвольних змагань» чітко простежується на прикладі Херсонської губернії, яка до кінця жовтня 1917 р. </w:t>
      </w:r>
      <w:r>
        <w:rPr>
          <w:rStyle w:val="23"/>
        </w:rPr>
        <w:t xml:space="preserve">«не підпадала під юрисдикцію Центральної Ради», </w:t>
      </w:r>
      <w:r>
        <w:t xml:space="preserve">якій, </w:t>
      </w:r>
      <w:r>
        <w:rPr>
          <w:rStyle w:val="23"/>
        </w:rPr>
        <w:t>«на відміну від більшовиків, не вдалося за короткий термін утворити розгалужений апарат управління і завдяки йому оволодіти становищем на місцях».</w:t>
      </w:r>
      <w:r>
        <w:t xml:space="preserve"> Для управління Херсонською, Катеринославською та Таврійською губерніями Українська Центральна Рада (УЦР) створила була навесні 1918 р. Головний Крайовий комісаріат на чолі з таким собі С. Комірним, від діяльності якого сліду не залишилося ані в пам’яті нащадків, ані </w:t>
      </w:r>
      <w:r>
        <w:lastRenderedPageBreak/>
        <w:t xml:space="preserve">в авторитетних енциклопедичних довідниках ЕУ та «Діячі Української Центральної Ради». Суцільний управлінський хаос панував на Херсонщині і за Гетьмана, який намагався вирішити проблему шляхом створення інституту </w:t>
      </w:r>
      <w:proofErr w:type="spellStart"/>
      <w:r>
        <w:t>Головноуповно</w:t>
      </w:r>
      <w:proofErr w:type="spellEnd"/>
      <w:r>
        <w:t xml:space="preserve">- важеного в справах Херсонської, Катеринославської та чомусь ще й Подільської губерній </w:t>
      </w:r>
      <w:r>
        <w:rPr>
          <w:lang w:val="ru-RU" w:eastAsia="ru-RU" w:bidi="ru-RU"/>
        </w:rPr>
        <w:t xml:space="preserve">(С. </w:t>
      </w:r>
      <w:proofErr w:type="spellStart"/>
      <w:r>
        <w:t>Гербель</w:t>
      </w:r>
      <w:proofErr w:type="spellEnd"/>
      <w:r>
        <w:t xml:space="preserve">, </w:t>
      </w:r>
      <w:r>
        <w:rPr>
          <w:lang w:val="ru-RU" w:eastAsia="ru-RU" w:bidi="ru-RU"/>
        </w:rPr>
        <w:t xml:space="preserve">Г. </w:t>
      </w:r>
      <w:proofErr w:type="spellStart"/>
      <w:r>
        <w:t>Раух</w:t>
      </w:r>
      <w:proofErr w:type="spellEnd"/>
      <w:r>
        <w:t xml:space="preserve">). Не існувало спеціального органу управління на Півдні України і за часів Директорії. Таким чином, </w:t>
      </w:r>
      <w:r>
        <w:rPr>
          <w:rStyle w:val="23"/>
        </w:rPr>
        <w:t>«чіткої вертикалі органів місцевої влади жодним з українських урядів не було сформовано».</w:t>
      </w:r>
      <w:r>
        <w:t xml:space="preserve"> Край фактично був відданий на поталу. Тут утворилося, принаймні, </w:t>
      </w:r>
      <w:proofErr w:type="spellStart"/>
      <w:r>
        <w:t>п’ятивладдя</w:t>
      </w:r>
      <w:proofErr w:type="spellEnd"/>
      <w:r>
        <w:t xml:space="preserve">: </w:t>
      </w:r>
      <w:r>
        <w:rPr>
          <w:rStyle w:val="23"/>
        </w:rPr>
        <w:t>«поряд із загальноукраїнськими органами влади діяла низка інституцій місцевих органів, частина яких існувала ще з часів Російської імперії, а інші</w:t>
      </w:r>
      <w:r>
        <w:t xml:space="preserve"> — </w:t>
      </w:r>
      <w:r>
        <w:rPr>
          <w:rStyle w:val="23"/>
        </w:rPr>
        <w:t xml:space="preserve">створені </w:t>
      </w:r>
      <w:proofErr w:type="spellStart"/>
      <w:r>
        <w:rPr>
          <w:rStyle w:val="23"/>
        </w:rPr>
        <w:t>революційно</w:t>
      </w:r>
      <w:proofErr w:type="spellEnd"/>
      <w:r>
        <w:rPr>
          <w:rStyle w:val="23"/>
        </w:rPr>
        <w:t xml:space="preserve"> налаштованими народними масами ради робітничих, солдатських і селянських депутатів»,</w:t>
      </w:r>
      <w:r>
        <w:t xml:space="preserve"> а також Думи, комісари Тимчасового уряду, комісари УЦР, земства («</w:t>
      </w:r>
      <w:r>
        <w:rPr>
          <w:rStyle w:val="23"/>
        </w:rPr>
        <w:t>перебували у катастрофічному фінансовому становищі»),</w:t>
      </w:r>
      <w:r>
        <w:t xml:space="preserve"> земельні комітети. При цьому </w:t>
      </w:r>
      <w:r>
        <w:rPr>
          <w:rStyle w:val="23"/>
        </w:rPr>
        <w:t xml:space="preserve">«довгий час місцева державна адміністрація не мала практично жодних важелів для реального здійснення своїх повноважень та впливу на хід подій у регіоні». </w:t>
      </w:r>
      <w:r>
        <w:rPr>
          <w:lang w:val="ru-RU" w:eastAsia="ru-RU" w:bidi="ru-RU"/>
        </w:rPr>
        <w:t xml:space="preserve">Абсолютна </w:t>
      </w:r>
      <w:r>
        <w:t xml:space="preserve">неспроможність українських націонал-соціалістичних урядів до будь-якої осмисленої конструктивної державницької роботи, а саме </w:t>
      </w:r>
      <w:r>
        <w:rPr>
          <w:rStyle w:val="23"/>
        </w:rPr>
        <w:t xml:space="preserve">«стабілізувати </w:t>
      </w:r>
      <w:proofErr w:type="gramStart"/>
      <w:r>
        <w:rPr>
          <w:rStyle w:val="23"/>
        </w:rPr>
        <w:t>соц</w:t>
      </w:r>
      <w:proofErr w:type="gramEnd"/>
      <w:r>
        <w:rPr>
          <w:rStyle w:val="23"/>
        </w:rPr>
        <w:t>іально- економічне життя, численні кризи в політичній сфері», «невирішеність робітничого питання</w:t>
      </w:r>
      <w:r>
        <w:t xml:space="preserve"> </w:t>
      </w:r>
      <w:r>
        <w:rPr>
          <w:rStyle w:val="23"/>
        </w:rPr>
        <w:t>(перевага національного над соціальним)»,</w:t>
      </w:r>
      <w:r>
        <w:t xml:space="preserve"> проблеми безробіття, розвал продовольчого ринку стали головним чинником утвердження на українській землі тоталітарного комуністичного режиму у формі радянської влади.</w:t>
      </w:r>
    </w:p>
    <w:p w:rsidR="00E75648" w:rsidRDefault="00E75648" w:rsidP="00E75648">
      <w:pPr>
        <w:pStyle w:val="20"/>
        <w:shd w:val="clear" w:color="auto" w:fill="auto"/>
        <w:ind w:left="140" w:right="140" w:firstLine="300"/>
      </w:pPr>
    </w:p>
    <w:p w:rsidR="00CC65E6" w:rsidRPr="00E75648" w:rsidRDefault="00FB0FC1" w:rsidP="00E75648">
      <w:pPr>
        <w:pStyle w:val="40"/>
        <w:shd w:val="clear" w:color="auto" w:fill="auto"/>
        <w:spacing w:before="0" w:after="44" w:line="220" w:lineRule="exact"/>
        <w:ind w:left="180" w:firstLine="300"/>
        <w:rPr>
          <w:b/>
        </w:rPr>
      </w:pPr>
      <w:r w:rsidRPr="00E75648">
        <w:rPr>
          <w:b/>
        </w:rPr>
        <w:t>Берестейщина</w:t>
      </w:r>
    </w:p>
    <w:p w:rsidR="00E75648" w:rsidRDefault="00FB0FC1" w:rsidP="00A44241">
      <w:pPr>
        <w:pStyle w:val="20"/>
        <w:shd w:val="clear" w:color="auto" w:fill="auto"/>
        <w:spacing w:after="134" w:line="238" w:lineRule="exact"/>
        <w:ind w:left="180" w:right="180" w:firstLine="300"/>
      </w:pPr>
      <w:r>
        <w:t xml:space="preserve">Узагальнена назва території, яка розташована в середній течії Західного Бугу. Згідно із сучасними даними, до початку XI ст. перебувала у складі Київської Русі, з 1080 р. — у складі Пінського князівства, від 1150 р. — у складі Волинського, а з 1320 р. — у складі </w:t>
      </w:r>
      <w:proofErr w:type="spellStart"/>
      <w:r>
        <w:t>Трокського</w:t>
      </w:r>
      <w:proofErr w:type="spellEnd"/>
      <w:r>
        <w:t xml:space="preserve"> князівства ВКЛ. Після укладання Люблінської унії і до останнього поділу Польщі Берестейщина — складова частина </w:t>
      </w:r>
      <w:proofErr w:type="spellStart"/>
      <w:r>
        <w:t>Берестейсько</w:t>
      </w:r>
      <w:proofErr w:type="spellEnd"/>
      <w:r>
        <w:t>-Литовського воєводства Корони/РП (1569</w:t>
      </w:r>
      <w:r w:rsidR="0028192B">
        <w:t>-</w:t>
      </w:r>
      <w:r>
        <w:t>1795), а від 1795 р. — Російської імперії.</w:t>
      </w:r>
    </w:p>
    <w:p w:rsidR="0000006A" w:rsidRDefault="0000006A" w:rsidP="00E75648">
      <w:pPr>
        <w:pStyle w:val="40"/>
        <w:shd w:val="clear" w:color="auto" w:fill="auto"/>
        <w:spacing w:before="0" w:after="48" w:line="220" w:lineRule="exact"/>
        <w:ind w:left="180" w:firstLine="300"/>
        <w:rPr>
          <w:b/>
        </w:rPr>
      </w:pPr>
    </w:p>
    <w:p w:rsidR="0028192B" w:rsidRDefault="0028192B" w:rsidP="00E75648">
      <w:pPr>
        <w:pStyle w:val="40"/>
        <w:shd w:val="clear" w:color="auto" w:fill="auto"/>
        <w:spacing w:before="0" w:after="48" w:line="220" w:lineRule="exact"/>
        <w:ind w:left="180" w:firstLine="300"/>
        <w:rPr>
          <w:b/>
        </w:rPr>
      </w:pPr>
    </w:p>
    <w:p w:rsidR="00CC65E6" w:rsidRPr="00E75648" w:rsidRDefault="00FB0FC1" w:rsidP="00E75648">
      <w:pPr>
        <w:pStyle w:val="40"/>
        <w:shd w:val="clear" w:color="auto" w:fill="auto"/>
        <w:spacing w:before="0" w:after="48" w:line="220" w:lineRule="exact"/>
        <w:ind w:left="180" w:firstLine="300"/>
        <w:rPr>
          <w:b/>
        </w:rPr>
      </w:pPr>
      <w:r w:rsidRPr="00E75648">
        <w:rPr>
          <w:b/>
        </w:rPr>
        <w:lastRenderedPageBreak/>
        <w:t>Кубань</w:t>
      </w:r>
    </w:p>
    <w:p w:rsidR="00CC65E6" w:rsidRDefault="00FB0FC1" w:rsidP="00E75648">
      <w:pPr>
        <w:pStyle w:val="20"/>
        <w:shd w:val="clear" w:color="auto" w:fill="auto"/>
        <w:spacing w:after="134" w:line="238" w:lineRule="exact"/>
        <w:ind w:left="180" w:right="180" w:firstLine="300"/>
      </w:pPr>
      <w:r>
        <w:t>Кубанське козацьке військо утворили 1860 р. з Чорноморського козацького війська та частини Кавказького лінійного к</w:t>
      </w:r>
      <w:r w:rsidR="0028192B">
        <w:t>о</w:t>
      </w:r>
      <w:r>
        <w:t xml:space="preserve">зацького війська. З 1861 р. на зайняті ними землі Краснодарського краю почали переселятися селяни, головним чином з Полтавської, Чернігівської, Воронезької та інших губерній, які утворили другорядну, стосовно козаків, соціальну верству «іногородніх». Конфлікт між цими двома становими групами, тобто соціальний конфлікт, був </w:t>
      </w:r>
      <w:proofErr w:type="spellStart"/>
      <w:r>
        <w:t>системоутворюючим</w:t>
      </w:r>
      <w:proofErr w:type="spellEnd"/>
      <w:r>
        <w:t xml:space="preserve"> на цих землях. Конфліктів за національною ознакою Кубань не знала.</w:t>
      </w:r>
    </w:p>
    <w:p w:rsidR="00CC65E6" w:rsidRPr="0028192B" w:rsidRDefault="00FB0FC1" w:rsidP="00E75648">
      <w:pPr>
        <w:pStyle w:val="40"/>
        <w:shd w:val="clear" w:color="auto" w:fill="auto"/>
        <w:spacing w:before="0" w:after="41" w:line="220" w:lineRule="exact"/>
        <w:ind w:left="180" w:firstLine="300"/>
        <w:rPr>
          <w:b/>
        </w:rPr>
      </w:pPr>
      <w:r w:rsidRPr="0028192B">
        <w:rPr>
          <w:b/>
        </w:rPr>
        <w:t>Міста в цілому</w:t>
      </w:r>
    </w:p>
    <w:p w:rsidR="00CC65E6" w:rsidRDefault="00FB0FC1" w:rsidP="00E75648">
      <w:pPr>
        <w:pStyle w:val="20"/>
        <w:shd w:val="clear" w:color="auto" w:fill="auto"/>
        <w:spacing w:line="238" w:lineRule="exact"/>
        <w:ind w:left="180" w:right="180" w:firstLine="300"/>
      </w:pPr>
      <w:r>
        <w:t xml:space="preserve">Цитовані вище документи та висновки дослідників малюють уклад життя мешканців </w:t>
      </w:r>
      <w:r>
        <w:rPr>
          <w:rStyle w:val="23"/>
        </w:rPr>
        <w:t xml:space="preserve">136 міст, у </w:t>
      </w:r>
      <w:proofErr w:type="spellStart"/>
      <w:r>
        <w:rPr>
          <w:rStyle w:val="23"/>
        </w:rPr>
        <w:t>т.ч</w:t>
      </w:r>
      <w:proofErr w:type="spellEnd"/>
      <w:r>
        <w:rPr>
          <w:rStyle w:val="23"/>
        </w:rPr>
        <w:t>.</w:t>
      </w:r>
      <w:r w:rsidR="00E75648">
        <w:rPr>
          <w:rStyle w:val="23"/>
        </w:rPr>
        <w:t xml:space="preserve"> </w:t>
      </w:r>
      <w:r>
        <w:t>5 губернських (без урахування Києва, Катеринослава</w:t>
      </w:r>
      <w:r>
        <w:rPr>
          <w:rStyle w:val="41"/>
        </w:rPr>
        <w:t xml:space="preserve">- </w:t>
      </w:r>
      <w:r>
        <w:t xml:space="preserve">та Харкова), 88 повітових, 43 </w:t>
      </w:r>
      <w:proofErr w:type="spellStart"/>
      <w:r>
        <w:t>безповітових</w:t>
      </w:r>
      <w:proofErr w:type="spellEnd"/>
      <w:r>
        <w:t xml:space="preserve"> та заштатних, </w:t>
      </w:r>
      <w:r>
        <w:rPr>
          <w:rStyle w:val="41"/>
        </w:rPr>
        <w:t xml:space="preserve">які існували на території сучасної України. </w:t>
      </w:r>
      <w:r>
        <w:t xml:space="preserve">За переписом 1897р. 12 з них нараховували менше 5 тис. жителів, тобто належали до категорії «міст-сіл», 83 відносилися до </w:t>
      </w:r>
      <w:proofErr w:type="spellStart"/>
      <w:r>
        <w:t>т.зв</w:t>
      </w:r>
      <w:proofErr w:type="spellEnd"/>
      <w:r>
        <w:t>. «малих» міст (5</w:t>
      </w:r>
      <w:r w:rsidR="0028192B">
        <w:t>-</w:t>
      </w:r>
      <w:r>
        <w:t>20 тис.), 23</w:t>
      </w:r>
      <w:r>
        <w:rPr>
          <w:rStyle w:val="41"/>
        </w:rPr>
        <w:t xml:space="preserve"> — </w:t>
      </w:r>
      <w:r>
        <w:t xml:space="preserve">до середніх; у губернських столицях проживало понад 20 тис. людей, більшість повітових центрів належала до «малих міст». </w:t>
      </w:r>
      <w:r>
        <w:rPr>
          <w:rStyle w:val="41"/>
        </w:rPr>
        <w:t xml:space="preserve">1897 року </w:t>
      </w:r>
      <w:r>
        <w:rPr>
          <w:lang w:val="en-US" w:eastAsia="en-US" w:bidi="en-US"/>
        </w:rPr>
        <w:t xml:space="preserve"> </w:t>
      </w:r>
      <w:r>
        <w:t xml:space="preserve">120 міст (по яких є дані) у 75 переважали українці, у </w:t>
      </w:r>
      <w:proofErr w:type="spellStart"/>
      <w:r>
        <w:t>т.ч</w:t>
      </w:r>
      <w:proofErr w:type="spellEnd"/>
      <w:r>
        <w:t>. у 5 з 12 «міст-сіл», 7 з 23 «середніх» та у 63 з 85 малих міст. Кількісно українці домінували в усіх типах міст лише Харківської та Полтавської губерній та в малих та середніх містах Чернігівської; у середніх за розмірами містах Катеринославщини і Херсонщини та в усіх містах материкової Таврії — росіяни; у малих та середніх містах Поділля й Волині, а також у середніх містах Київщини — євреї.</w:t>
      </w:r>
      <w:r>
        <w:rPr>
          <w:rStyle w:val="41"/>
        </w:rPr>
        <w:t xml:space="preserve"> При цьому </w:t>
      </w:r>
      <w:r>
        <w:t>українці у більшості своїй були мешканцями провінційних повітових центрів, серед євреїв, поляків та росіян відсоток письменних був вищим, ніж серед українців».</w:t>
      </w:r>
      <w:r>
        <w:rPr>
          <w:rStyle w:val="41"/>
        </w:rPr>
        <w:t xml:space="preserve"> Висновки: </w:t>
      </w:r>
      <w:r>
        <w:t xml:space="preserve">«українці були найменш </w:t>
      </w:r>
      <w:proofErr w:type="spellStart"/>
      <w:r>
        <w:t>урбані</w:t>
      </w:r>
      <w:proofErr w:type="spellEnd"/>
      <w:r>
        <w:t xml:space="preserve">- </w:t>
      </w:r>
      <w:proofErr w:type="spellStart"/>
      <w:r>
        <w:t>зованою</w:t>
      </w:r>
      <w:proofErr w:type="spellEnd"/>
      <w:r>
        <w:t xml:space="preserve"> національною групою, віддавши в цьому відчутну перевагу єврейському та російському населенню»; «для діячів Української революції місто </w:t>
      </w:r>
      <w:r>
        <w:rPr>
          <w:lang w:val="en-US" w:eastAsia="en-US" w:bidi="en-US"/>
        </w:rPr>
        <w:t xml:space="preserve">a priori </w:t>
      </w:r>
      <w:r>
        <w:t xml:space="preserve">було несприятливим середовищем для національно-визвольних змагань українців». </w:t>
      </w:r>
      <w:r>
        <w:rPr>
          <w:rStyle w:val="41"/>
        </w:rPr>
        <w:t xml:space="preserve">І взагалі: </w:t>
      </w:r>
      <w:r>
        <w:t xml:space="preserve">«українці мали найнижчий рівень </w:t>
      </w:r>
      <w:proofErr w:type="spellStart"/>
      <w:r>
        <w:t>урбанізованості</w:t>
      </w:r>
      <w:proofErr w:type="spellEnd"/>
      <w:r>
        <w:t xml:space="preserve"> та присутності у мобілізаційно потужніших типах міських поселень, а звідси, й несприятливі позиції для конкуренції з іншими національними групами у містах».</w:t>
      </w:r>
    </w:p>
    <w:p w:rsidR="00CC65E6" w:rsidRDefault="00CC65E6">
      <w:pPr>
        <w:rPr>
          <w:sz w:val="2"/>
          <w:szCs w:val="2"/>
        </w:rPr>
      </w:pPr>
    </w:p>
    <w:sectPr w:rsidR="00CC65E6">
      <w:pgSz w:w="6989" w:h="1116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86" w:rsidRDefault="002C0F86">
      <w:r>
        <w:separator/>
      </w:r>
    </w:p>
  </w:endnote>
  <w:endnote w:type="continuationSeparator" w:id="0">
    <w:p w:rsidR="002C0F86" w:rsidRDefault="002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86" w:rsidRDefault="002C0F86">
      <w:r>
        <w:separator/>
      </w:r>
    </w:p>
  </w:footnote>
  <w:footnote w:type="continuationSeparator" w:id="0">
    <w:p w:rsidR="002C0F86" w:rsidRDefault="002C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CFA"/>
    <w:multiLevelType w:val="multilevel"/>
    <w:tmpl w:val="6986D7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E6"/>
    <w:rsid w:val="0000006A"/>
    <w:rsid w:val="0028192B"/>
    <w:rsid w:val="002C0F86"/>
    <w:rsid w:val="00510827"/>
    <w:rsid w:val="00517B19"/>
    <w:rsid w:val="00A44241"/>
    <w:rsid w:val="00CC65E6"/>
    <w:rsid w:val="00D60796"/>
    <w:rsid w:val="00DC6172"/>
    <w:rsid w:val="00E75648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ий текст (3) + Малі великі літери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20pt">
    <w:name w:val="Колонтитул (2) + Інтервал 0 pt"/>
    <w:basedOn w:val="2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Виноска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2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40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403" w:lineRule="exac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600" w:after="60" w:line="0" w:lineRule="atLeast"/>
      <w:ind w:firstLine="10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20" w:after="180" w:line="0" w:lineRule="atLeast"/>
      <w:ind w:firstLine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91" w:lineRule="exact"/>
      <w:ind w:firstLine="3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ий текст (3) + Малі великі літери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20pt">
    <w:name w:val="Колонтитул (2) + Інтервал 0 pt"/>
    <w:basedOn w:val="2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Виноска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2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40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0" w:line="403" w:lineRule="exact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600" w:after="60" w:line="0" w:lineRule="atLeast"/>
      <w:ind w:firstLine="10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20" w:after="180" w:line="0" w:lineRule="atLeast"/>
      <w:ind w:firstLine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91" w:lineRule="exact"/>
      <w:ind w:firstLine="3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12443</Words>
  <Characters>7094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6</cp:revision>
  <dcterms:created xsi:type="dcterms:W3CDTF">2017-10-09T09:13:00Z</dcterms:created>
  <dcterms:modified xsi:type="dcterms:W3CDTF">2017-10-11T07:58:00Z</dcterms:modified>
</cp:coreProperties>
</file>