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C87" w:rsidRDefault="00786C87" w:rsidP="00786C87">
      <w:pPr>
        <w:pStyle w:val="10"/>
        <w:shd w:val="clear" w:color="auto" w:fill="auto"/>
        <w:spacing w:after="382"/>
        <w:ind w:left="40"/>
        <w:rPr>
          <w:rStyle w:val="11"/>
          <w:b/>
          <w:bCs/>
          <w:lang w:val="en-US" w:eastAsia="ru-RU" w:bidi="ru-RU"/>
        </w:rPr>
      </w:pPr>
      <w:bookmarkStart w:id="0" w:name="bookmark0"/>
    </w:p>
    <w:p w:rsidR="00234F0E" w:rsidRDefault="00A56BB5" w:rsidP="00786C87">
      <w:pPr>
        <w:pStyle w:val="10"/>
        <w:shd w:val="clear" w:color="auto" w:fill="auto"/>
        <w:spacing w:after="382"/>
        <w:ind w:left="40"/>
      </w:pPr>
      <w:r>
        <w:rPr>
          <w:rStyle w:val="11"/>
          <w:b/>
          <w:bCs/>
          <w:lang w:val="ru-RU" w:eastAsia="ru-RU" w:bidi="ru-RU"/>
        </w:rPr>
        <w:t xml:space="preserve">СИСТЕМА </w:t>
      </w:r>
      <w:r>
        <w:rPr>
          <w:rStyle w:val="11"/>
          <w:b/>
          <w:bCs/>
        </w:rPr>
        <w:t>ОЦІНКИ ВПЛИВУ НА НАВКОЛИШНЄ</w:t>
      </w:r>
      <w:r>
        <w:rPr>
          <w:rStyle w:val="11"/>
          <w:b/>
          <w:bCs/>
        </w:rPr>
        <w:br/>
        <w:t>СЕРЕДОВИЩЕ В УКРАЇНІ</w:t>
      </w:r>
      <w:bookmarkEnd w:id="0"/>
    </w:p>
    <w:p w:rsidR="00234F0E" w:rsidRPr="00786C87" w:rsidRDefault="00786C87" w:rsidP="00786C87">
      <w:pPr>
        <w:pStyle w:val="220"/>
        <w:shd w:val="clear" w:color="auto" w:fill="auto"/>
        <w:spacing w:before="0" w:after="22" w:line="210" w:lineRule="exact"/>
        <w:ind w:left="160"/>
        <w:rPr>
          <w:rFonts w:ascii="Times New Roman" w:hAnsi="Times New Roman" w:cs="Times New Roman"/>
          <w:lang w:val="en-US"/>
        </w:rPr>
      </w:pPr>
      <w:bookmarkStart w:id="1" w:name="bookmark1"/>
      <w:r w:rsidRPr="00786C87">
        <w:rPr>
          <w:rFonts w:ascii="Times New Roman" w:hAnsi="Times New Roman" w:cs="Times New Roman"/>
          <w:lang w:val="en-US"/>
        </w:rPr>
        <w:t>1</w:t>
      </w:r>
      <w:r w:rsidR="00A56BB5" w:rsidRPr="00786C87">
        <w:rPr>
          <w:rFonts w:ascii="Times New Roman" w:hAnsi="Times New Roman" w:cs="Times New Roman"/>
        </w:rPr>
        <w:t>. 1. ОВНС ТА ЕКОЛОГІЧНА ЕКСПЕРТИЗА</w:t>
      </w:r>
      <w:bookmarkEnd w:id="1"/>
    </w:p>
    <w:p w:rsidR="00786C87" w:rsidRPr="00786C87" w:rsidRDefault="00786C87" w:rsidP="00786C87">
      <w:pPr>
        <w:pStyle w:val="220"/>
        <w:shd w:val="clear" w:color="auto" w:fill="auto"/>
        <w:spacing w:before="0" w:after="22" w:line="210" w:lineRule="exact"/>
        <w:ind w:left="160"/>
        <w:rPr>
          <w:lang w:val="en-US"/>
        </w:rPr>
      </w:pPr>
    </w:p>
    <w:p w:rsidR="00234F0E" w:rsidRDefault="00A56BB5" w:rsidP="00786C87">
      <w:pPr>
        <w:pStyle w:val="40"/>
        <w:shd w:val="clear" w:color="auto" w:fill="auto"/>
        <w:spacing w:before="0" w:line="274" w:lineRule="exact"/>
        <w:ind w:left="160" w:right="200"/>
        <w:jc w:val="both"/>
      </w:pPr>
      <w:r>
        <w:t>До 2011 року система оцінки впливу на навколишнє середовище в Украї</w:t>
      </w:r>
      <w:r>
        <w:softHyphen/>
        <w:t xml:space="preserve">ні включала розробку замовником у складі проекту матеріалів оцінки впливу на навколишнє </w:t>
      </w:r>
      <w:r>
        <w:t>середовище (ОВНС) та обов’язкове проведення державної екологічної експертизи проектної документації щодо об’єктів, що становлять підвищену екологічну небезпеку, спеціально уповноваже</w:t>
      </w:r>
      <w:r>
        <w:softHyphen/>
        <w:t>ним органом. Реалізація проектів та діяльності без позитивного висновку д</w:t>
      </w:r>
      <w:r>
        <w:t>ержавної екологічної експертизи щодо екологічно небезпечних об’єктів була заборонена.</w:t>
      </w:r>
    </w:p>
    <w:p w:rsidR="00234F0E" w:rsidRDefault="00A56BB5" w:rsidP="00786C87">
      <w:pPr>
        <w:pStyle w:val="40"/>
        <w:shd w:val="clear" w:color="auto" w:fill="auto"/>
        <w:spacing w:before="0" w:line="298" w:lineRule="exact"/>
        <w:ind w:left="160" w:right="200" w:firstLine="280"/>
        <w:jc w:val="both"/>
      </w:pPr>
      <w:r>
        <w:t>Постановою № 554 від 27.07.1995 р. Кабінет Міністрів України за</w:t>
      </w:r>
      <w:r>
        <w:softHyphen/>
        <w:t>твердив Перелік видів діяльності і об’єктів, що становлять підвищену екологічну небезпеку, для яких провед</w:t>
      </w:r>
      <w:r>
        <w:t>ення державної екологічної екс</w:t>
      </w:r>
      <w:r>
        <w:softHyphen/>
        <w:t>пертизи є обов’язковим. Даний перелік у більшій мірі відповідає переліку об’єктів, щодо яких проводиться оцінка впливу у Європі. Закон України «Про екологічну експертизу» встановлював вимоги до матеріалів ОВНС запланованої ді</w:t>
      </w:r>
      <w:r>
        <w:t>яльності, які подаються на екологічну експертизу, зокре</w:t>
      </w:r>
      <w:r>
        <w:softHyphen/>
        <w:t xml:space="preserve">ма, передбачав, що такі повинні обґрунтовувати її доцільність та способи реалізації, можливі альтернативні варіанти рішень, характеристику стану навколишнього природного середовища території, види та </w:t>
      </w:r>
      <w:r>
        <w:t xml:space="preserve">рівні впливу на нього в нормальних і екстремальних умовах, можливі зміни його якісного стану, еколого-економічні наслідки </w:t>
      </w:r>
      <w:proofErr w:type="spellStart"/>
      <w:r>
        <w:t>діїшьності</w:t>
      </w:r>
      <w:proofErr w:type="spellEnd"/>
      <w:r>
        <w:t xml:space="preserve">, заходи щодо зменшення рівня екологічного ризику і забезпечення вимог екологічної безпеки. </w:t>
      </w:r>
      <w:proofErr w:type="spellStart"/>
      <w:r>
        <w:t>Крш</w:t>
      </w:r>
      <w:proofErr w:type="spellEnd"/>
      <w:r>
        <w:t xml:space="preserve"> цього, вищезазначений закон </w:t>
      </w:r>
      <w:r>
        <w:t>передбачав положення щодо участі громадськості у процесі державної екологічної експертизи (в тому числі, встановлював на рівні закону зміст заяви про екологічні наслідки діяльності), вимоги щодо висновків державної екологічної експертизи та порядок їхнього</w:t>
      </w:r>
      <w:r>
        <w:t xml:space="preserve"> оскарження.</w:t>
      </w:r>
    </w:p>
    <w:p w:rsidR="00234F0E" w:rsidRDefault="00A56BB5" w:rsidP="00786C87">
      <w:pPr>
        <w:pStyle w:val="40"/>
        <w:shd w:val="clear" w:color="auto" w:fill="auto"/>
        <w:spacing w:before="0" w:line="298" w:lineRule="exact"/>
        <w:ind w:left="160" w:right="200" w:firstLine="280"/>
        <w:jc w:val="both"/>
      </w:pPr>
      <w:r>
        <w:t>Детальний процес складання матеріалів ОВНС, їхнього змісту та про</w:t>
      </w:r>
      <w:r>
        <w:softHyphen/>
        <w:t xml:space="preserve">цедури залучення різного роду суб’єктів до їхньої підготовки, як і зараз, регулювали Державні будівельні норми — спочатку ДБН А.2.2-1-95, а </w:t>
      </w:r>
      <w:proofErr w:type="spellStart"/>
      <w:r>
        <w:t>пізніїпе</w:t>
      </w:r>
      <w:proofErr w:type="spellEnd"/>
    </w:p>
    <w:p w:rsidR="00234F0E" w:rsidRDefault="00234F0E">
      <w:pPr>
        <w:rPr>
          <w:sz w:val="2"/>
          <w:szCs w:val="2"/>
        </w:rPr>
        <w:sectPr w:rsidR="00234F0E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34F0E" w:rsidRDefault="00A56BB5" w:rsidP="00786C87">
      <w:pPr>
        <w:pStyle w:val="40"/>
        <w:shd w:val="clear" w:color="auto" w:fill="auto"/>
        <w:spacing w:before="0"/>
        <w:ind w:left="260"/>
        <w:jc w:val="both"/>
      </w:pPr>
      <w:r>
        <w:lastRenderedPageBreak/>
        <w:t>А.2.2-</w:t>
      </w:r>
      <w:r>
        <w:t>1-2003 (надалі — ДБН)</w:t>
      </w:r>
      <w:r>
        <w:rPr>
          <w:vertAlign w:val="superscript"/>
        </w:rPr>
        <w:t>2</w:t>
      </w:r>
      <w:r>
        <w:t>. Відповідно до ДБН, ОВНС — це документ, який всебічно характеризує результати оцінки впливів на природне, со</w:t>
      </w:r>
      <w:r>
        <w:softHyphen/>
        <w:t>ціальне, включаючи життєдіяльність населення, і техногенне середовище та обґрунтовує допустимість планованої діяльності. Від</w:t>
      </w:r>
      <w:r>
        <w:t>повідно до п. 1.2. ДБН, матеріали ОВНС подаються у складі проектної документації уповно</w:t>
      </w:r>
      <w:r>
        <w:softHyphen/>
        <w:t>важеним державним органам для експертної оцінки. По суті, саме цей до</w:t>
      </w:r>
      <w:r>
        <w:softHyphen/>
        <w:t xml:space="preserve">кумент мав би виступати еквівалентом західного ЕІА </w:t>
      </w:r>
      <w:r>
        <w:rPr>
          <w:lang w:val="en-US" w:eastAsia="en-US" w:bidi="en-US"/>
        </w:rPr>
        <w:t>report</w:t>
      </w:r>
      <w:r w:rsidRPr="00786C87">
        <w:rPr>
          <w:lang w:val="ru-RU" w:eastAsia="en-US" w:bidi="en-US"/>
        </w:rPr>
        <w:t xml:space="preserve">, </w:t>
      </w:r>
      <w:r>
        <w:t xml:space="preserve">який в </w:t>
      </w:r>
      <w:r>
        <w:rPr>
          <w:lang w:val="ru-RU" w:eastAsia="ru-RU" w:bidi="ru-RU"/>
        </w:rPr>
        <w:t xml:space="preserve">США, </w:t>
      </w:r>
      <w:r>
        <w:t>до прикладу, готується держ</w:t>
      </w:r>
      <w:r>
        <w:t>авним органом в обґрунтування позитивного дозволу на реалізацію екологічно-небезпечного проекту.</w:t>
      </w:r>
    </w:p>
    <w:p w:rsidR="00234F0E" w:rsidRDefault="00A56BB5" w:rsidP="00786C87">
      <w:pPr>
        <w:pStyle w:val="40"/>
        <w:shd w:val="clear" w:color="auto" w:fill="auto"/>
        <w:spacing w:before="0"/>
        <w:ind w:left="260" w:firstLine="280"/>
        <w:jc w:val="both"/>
      </w:pPr>
      <w:r>
        <w:t>ДБН передбачає в певній мірі участь громадськості у процесі підготовки матеріалів ОВНС</w:t>
      </w:r>
      <w:r>
        <w:rPr>
          <w:vertAlign w:val="superscript"/>
        </w:rPr>
        <w:t>3</w:t>
      </w:r>
      <w:r>
        <w:t xml:space="preserve">. Так, п. 1.6. при виконанні ОВНС покладає обов’язок на замовника ОВНС </w:t>
      </w:r>
      <w:r>
        <w:t>інформувати через органи місцевої влади населення про плановану діяльність, визначати місце і порядок проведення громадських слухань, відкритих засідань, збирати звернення громадян, здійснювати розгляд та врахування зауважень і пропозицій громадськості. Пе</w:t>
      </w:r>
      <w:r>
        <w:t>рвинна інформація про плани щодо реалізації проекту доводиться до громадськості шляхом опублікування так званої Заяви про наміри замовником або ви</w:t>
      </w:r>
      <w:r>
        <w:softHyphen/>
        <w:t>конавцем ОВНС. ДБН містять окремим додатком обов’язкову форму такої заяви, у якій вказується поруч із основно</w:t>
      </w:r>
      <w:r>
        <w:t>ю інформацією про запланований проект, якими є назва інвестора, плановане місце розташування об’єкта, характер планової діяльності, характеристика потенційного впливу від реалізації проекту на складові довкілля, також й інформація про те, коли (час), де (а</w:t>
      </w:r>
      <w:r>
        <w:t>дреса) громадськість може ознайомитися із матеріалами про</w:t>
      </w:r>
      <w:r>
        <w:softHyphen/>
        <w:t xml:space="preserve">екту та самою ОВНС, а також адреса, телефон, за якими можна подати свої пропозиції до матеріалів ОВНС. Після цього, відповідно до п. </w:t>
      </w:r>
      <w:r>
        <w:rPr>
          <w:lang w:val="ru-RU" w:eastAsia="ru-RU" w:bidi="ru-RU"/>
        </w:rPr>
        <w:t xml:space="preserve">1.9., </w:t>
      </w:r>
      <w:r>
        <w:t>інвестор здійснює інформування населення про проведення обг</w:t>
      </w:r>
      <w:r>
        <w:t>оворення плано</w:t>
      </w:r>
      <w:r>
        <w:softHyphen/>
        <w:t>ваної діяльності, проводить громадське обговорення проекту. Замовник здійснює коригування матеріалів ОВНС за результатами громадського обговорення і лише після цього, остаточний звіт ОВНС, з урахуванням громадських інтересів, у складі проект</w:t>
      </w:r>
      <w:r>
        <w:t>ної документації подається інвес</w:t>
      </w:r>
      <w:r>
        <w:softHyphen/>
        <w:t>тором на узгодження і проходження державних експертиз. Відповідно до п. 1.8., на основі висновків остаточного звіту ОВНС замовник і виконавець ОВНС складають текст Заяви про екологічні наслідки планованої діяльності і забез</w:t>
      </w:r>
      <w:r>
        <w:t>печують її розповсюдження через засоби масової інформації. Така</w:t>
      </w:r>
    </w:p>
    <w:p w:rsidR="00234F0E" w:rsidRDefault="00234F0E">
      <w:pPr>
        <w:rPr>
          <w:sz w:val="2"/>
          <w:szCs w:val="2"/>
        </w:rPr>
        <w:sectPr w:rsidR="00234F0E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34F0E" w:rsidRDefault="00234F0E">
      <w:pPr>
        <w:rPr>
          <w:sz w:val="2"/>
          <w:szCs w:val="2"/>
        </w:rPr>
      </w:pPr>
    </w:p>
    <w:p w:rsidR="00234F0E" w:rsidRDefault="00A56BB5" w:rsidP="00786C87">
      <w:pPr>
        <w:pStyle w:val="40"/>
        <w:shd w:val="clear" w:color="auto" w:fill="auto"/>
        <w:spacing w:before="0"/>
        <w:ind w:left="300" w:right="200"/>
        <w:jc w:val="both"/>
      </w:pPr>
      <w:r>
        <w:t>Заява про екологічні наслідки становить собою резюме матеріалів ОВНС і є документом щодо суті цих наслідків і гарантій виконання природоохо</w:t>
      </w:r>
      <w:r>
        <w:softHyphen/>
        <w:t>ронних заходів із забезпеченн</w:t>
      </w:r>
      <w:r>
        <w:t>я безпеки навколишнього середовища на весь період здійснення планованої діяльності (п. 4.1), який публікується власне з метою інформування громадськості водночас і щодо остаточних проектних рішень, і щодо результатів врахування участі громадськості.</w:t>
      </w:r>
    </w:p>
    <w:p w:rsidR="00234F0E" w:rsidRDefault="00A56BB5" w:rsidP="00786C87">
      <w:pPr>
        <w:pStyle w:val="40"/>
        <w:shd w:val="clear" w:color="auto" w:fill="auto"/>
        <w:spacing w:before="0" w:after="151" w:line="259" w:lineRule="exact"/>
        <w:ind w:left="300" w:right="200" w:firstLine="260"/>
        <w:jc w:val="both"/>
      </w:pPr>
      <w:r>
        <w:t xml:space="preserve">ДБН у </w:t>
      </w:r>
      <w:r>
        <w:t>п. 1.10 вимагають, щоб остаточний звіт ОВНС містив докази врахування громадських інтересів, а саме відомості про опублікування в засобах масової інформації Заяви про наміри (у якому виданні, коли опубліковано, вирізка із газети), відомості про проведення г</w:t>
      </w:r>
      <w:r>
        <w:t>ромадських обговорень (де і коли проводилися, протокол таких слухань), письмові та інші документи звернень громадян; перелік матеріалів, представлених з боку замовника і виконавця ОВНС на розгляд місцевого населення та громадських організацій, перелік пита</w:t>
      </w:r>
      <w:r>
        <w:t>нь і зауважень громадян, обґрун</w:t>
      </w:r>
      <w:r>
        <w:softHyphen/>
        <w:t>товані відповіді; узагальнені рішення про враховану частину громадських пропозицій та обґрунтування, що стосуються їхньої неврахованої частини.</w:t>
      </w:r>
    </w:p>
    <w:p w:rsidR="00234F0E" w:rsidRDefault="00A56BB5" w:rsidP="00786C87">
      <w:pPr>
        <w:pStyle w:val="50"/>
        <w:shd w:val="clear" w:color="auto" w:fill="auto"/>
        <w:spacing w:before="0" w:after="23" w:line="220" w:lineRule="exact"/>
        <w:ind w:left="300" w:firstLine="0"/>
      </w:pPr>
      <w:r>
        <w:t>Справа 1. Оскарження висновку державної екологічної експертизи</w:t>
      </w:r>
    </w:p>
    <w:p w:rsidR="00234F0E" w:rsidRPr="00786C87" w:rsidRDefault="00A56BB5" w:rsidP="00786C87">
      <w:pPr>
        <w:pStyle w:val="40"/>
        <w:shd w:val="clear" w:color="auto" w:fill="auto"/>
        <w:spacing w:before="0" w:after="112" w:line="259" w:lineRule="exact"/>
        <w:ind w:left="300" w:right="300" w:firstLine="260"/>
        <w:jc w:val="both"/>
      </w:pPr>
      <w:r>
        <w:t>У 2009 році ЕПЛ з</w:t>
      </w:r>
      <w:r>
        <w:t>вернулася з позовом до Міністерства охорони навко</w:t>
      </w:r>
      <w:r>
        <w:softHyphen/>
        <w:t>лишнього природного середовища України про визнання незаконним та скасування висновку державної екологічної експертизи проекту будівництво заводу з виробництва мінераловатної ізоляції. Свої позовні вимоги Е</w:t>
      </w:r>
      <w:r>
        <w:t>ПЛ обґрунтовувала тим, що всупереч законодавчим вимогам у ході проведення експертизи не було оцінено комплексного впливу проектованого і існуючих асфальтобетонних заводів на атмосферне повітря, а також впливу на довкілля радіоактивних мінеральних сировинни</w:t>
      </w:r>
      <w:r>
        <w:t>х матеріалів, які використовуються в значних кількостях у виробництві скловати. Крім того, ЕПЛ були зібрані дані, які вказують на наявність суттєвих порушень законодавства України в частині порядку проведення громадського обговорення (недопущення жителів м</w:t>
      </w:r>
      <w:r>
        <w:t>іста (зацікавленої громадськості) в приміщення, де проводились громадські слухання, проведення слухань із особами, які були доставлені за</w:t>
      </w:r>
      <w:r>
        <w:softHyphen/>
        <w:t>будовником із інших населених пунктів). У січні 2011 року адміністративний суд, задовольняючи позов ЕПЛ, визнав зазнач</w:t>
      </w:r>
      <w:r>
        <w:t>ені матеріальні та процесуальні порушення, допущені в ході процедури ОВН</w:t>
      </w:r>
      <w:r w:rsidR="00786C87">
        <w:t>С та державної екологічної екс</w:t>
      </w:r>
      <w:r w:rsidRPr="00786C87">
        <w:rPr>
          <w:rStyle w:val="41"/>
          <w:u w:val="none"/>
        </w:rPr>
        <w:t>пертизи, та скасував висновок державної екологічної експертизи по проекту.</w:t>
      </w:r>
    </w:p>
    <w:p w:rsidR="00234F0E" w:rsidRDefault="00A56BB5" w:rsidP="00786C87">
      <w:pPr>
        <w:pStyle w:val="40"/>
        <w:shd w:val="clear" w:color="auto" w:fill="auto"/>
        <w:spacing w:before="0" w:line="269" w:lineRule="exact"/>
        <w:ind w:left="180" w:right="200" w:firstLine="280"/>
        <w:jc w:val="both"/>
      </w:pPr>
      <w:r>
        <w:t xml:space="preserve">Разом з тим, практична реалізація права громадськості брати участь у </w:t>
      </w:r>
      <w:r>
        <w:t>розробленні ОВНС на належному рівні не забезпечувалася. Перш за все, і інвестори і розробники ОВНС не розцінюють громадськість як суб’єкта, який може позитивно вплинути на якість проектних документів, і в кра</w:t>
      </w:r>
      <w:r>
        <w:softHyphen/>
        <w:t xml:space="preserve">щому випадку зводять вимоги законодавства щодо </w:t>
      </w:r>
      <w:r>
        <w:t xml:space="preserve">участі громадськості до їх </w:t>
      </w:r>
      <w:r>
        <w:lastRenderedPageBreak/>
        <w:t>формального виконання із використанням усіх можливих прогалин у нормативних актах для зведення можливості реальної участі до мінімуму.</w:t>
      </w:r>
    </w:p>
    <w:p w:rsidR="00234F0E" w:rsidRDefault="00A56BB5" w:rsidP="00786C87">
      <w:pPr>
        <w:pStyle w:val="40"/>
        <w:shd w:val="clear" w:color="auto" w:fill="auto"/>
        <w:spacing w:before="0" w:line="269" w:lineRule="exact"/>
        <w:ind w:left="340"/>
        <w:jc w:val="both"/>
      </w:pPr>
      <w:r>
        <w:rPr>
          <w:lang w:val="ru-RU" w:eastAsia="ru-RU" w:bidi="ru-RU"/>
        </w:rPr>
        <w:t xml:space="preserve">Заяви </w:t>
      </w:r>
      <w:proofErr w:type="gramStart"/>
      <w:r>
        <w:rPr>
          <w:lang w:val="ru-RU" w:eastAsia="ru-RU" w:bidi="ru-RU"/>
        </w:rPr>
        <w:t>про</w:t>
      </w:r>
      <w:proofErr w:type="gramEnd"/>
      <w:r>
        <w:rPr>
          <w:lang w:val="ru-RU" w:eastAsia="ru-RU" w:bidi="ru-RU"/>
        </w:rPr>
        <w:t xml:space="preserve"> </w:t>
      </w:r>
      <w:proofErr w:type="gramStart"/>
      <w:r>
        <w:t>нам</w:t>
      </w:r>
      <w:proofErr w:type="gramEnd"/>
      <w:r>
        <w:t xml:space="preserve">іри </w:t>
      </w:r>
      <w:r>
        <w:rPr>
          <w:lang w:val="ru-RU" w:eastAsia="ru-RU" w:bidi="ru-RU"/>
        </w:rPr>
        <w:t xml:space="preserve">часто не </w:t>
      </w:r>
      <w:r>
        <w:t xml:space="preserve">відповідали вимогам, </w:t>
      </w:r>
      <w:r>
        <w:rPr>
          <w:lang w:val="ru-RU" w:eastAsia="ru-RU" w:bidi="ru-RU"/>
        </w:rPr>
        <w:t xml:space="preserve">особливо в </w:t>
      </w:r>
      <w:r>
        <w:t>частині поданн</w:t>
      </w:r>
      <w:r>
        <w:t xml:space="preserve">я інформації </w:t>
      </w:r>
      <w:r>
        <w:rPr>
          <w:lang w:val="ru-RU" w:eastAsia="ru-RU" w:bidi="ru-RU"/>
        </w:rPr>
        <w:t xml:space="preserve">про те, </w:t>
      </w:r>
      <w:r>
        <w:t xml:space="preserve">як і де можна ознайомитися із проектними матеріалами, куди подавати коментарі, де будуть проводитися громадські слухання. Час між опублікуванням такої заяви і громадськими слуханнями та </w:t>
      </w:r>
      <w:proofErr w:type="spellStart"/>
      <w:r>
        <w:t>фіналізу</w:t>
      </w:r>
      <w:proofErr w:type="spellEnd"/>
      <w:r>
        <w:t xml:space="preserve">- </w:t>
      </w:r>
      <w:proofErr w:type="spellStart"/>
      <w:r>
        <w:t>ванням</w:t>
      </w:r>
      <w:proofErr w:type="spellEnd"/>
      <w:r>
        <w:t xml:space="preserve"> ОВНС часто складав лише декілька</w:t>
      </w:r>
      <w:r>
        <w:t xml:space="preserve"> днів, що унеможливлювало подання будь-яких обґрунтованих коментарів. А якщо такі і подавалися, останні не знаходили свого відображення у матеріалах ОВНС. Заяви про екологічні наслідки діяльності також часто всупереч законодавству не містили найважливіших </w:t>
      </w:r>
      <w:r>
        <w:t>елементів: характеристики основних впливів діяльності на довкілля, показників екологічного ризику планованої ді</w:t>
      </w:r>
      <w:r>
        <w:softHyphen/>
        <w:t>яльності, заходів, спрямованих на мінімізацію впливу, гарантій здійснення діяльності відповідно до екологічних стандартів і нормативів. Крім тог</w:t>
      </w:r>
      <w:r>
        <w:t>о, такі заяви часто публікувалися у засобах масової інформації, аудиторія яких не покривала зацікавлену громадськість, яка повинна залучатися до цього процесу. Висновки державної екологічної експертизи не доводилися до відома громадськості; отримати їхні к</w:t>
      </w:r>
      <w:r>
        <w:t>опії на запит також не завжди було можливо.</w:t>
      </w:r>
    </w:p>
    <w:p w:rsidR="00786C87" w:rsidRDefault="00786C87" w:rsidP="00786C87">
      <w:pPr>
        <w:pStyle w:val="50"/>
        <w:shd w:val="clear" w:color="auto" w:fill="auto"/>
        <w:spacing w:before="0" w:after="18" w:line="220" w:lineRule="exact"/>
        <w:ind w:left="400" w:firstLine="0"/>
        <w:jc w:val="left"/>
        <w:rPr>
          <w:lang w:val="en-US"/>
        </w:rPr>
      </w:pPr>
    </w:p>
    <w:p w:rsidR="00234F0E" w:rsidRDefault="00A56BB5" w:rsidP="00786C87">
      <w:pPr>
        <w:pStyle w:val="50"/>
        <w:shd w:val="clear" w:color="auto" w:fill="auto"/>
        <w:spacing w:before="0" w:after="18" w:line="220" w:lineRule="exact"/>
        <w:ind w:left="400" w:firstLine="0"/>
        <w:jc w:val="left"/>
      </w:pPr>
      <w:r>
        <w:t xml:space="preserve">Справа 2. Опублікування висновків ДЕЕ на сайті </w:t>
      </w:r>
      <w:proofErr w:type="spellStart"/>
      <w:r>
        <w:t>Мінприроди</w:t>
      </w:r>
      <w:proofErr w:type="spellEnd"/>
    </w:p>
    <w:p w:rsidR="00234F0E" w:rsidRDefault="00A56BB5" w:rsidP="00786C87">
      <w:pPr>
        <w:pStyle w:val="40"/>
        <w:shd w:val="clear" w:color="auto" w:fill="auto"/>
        <w:spacing w:before="0" w:line="259" w:lineRule="exact"/>
        <w:ind w:left="400" w:right="240" w:firstLine="280"/>
        <w:jc w:val="both"/>
      </w:pPr>
      <w:r>
        <w:t xml:space="preserve">У 2010-2011 року ЕПЛ позивалася до </w:t>
      </w:r>
      <w:proofErr w:type="spellStart"/>
      <w:r>
        <w:t>Мінприроди</w:t>
      </w:r>
      <w:proofErr w:type="spellEnd"/>
      <w:r>
        <w:t xml:space="preserve"> України з питань опу</w:t>
      </w:r>
      <w:r>
        <w:softHyphen/>
        <w:t xml:space="preserve">блікування висновків державної екологічної експертизи (ДЕЕ) на офіційному веб-сайті </w:t>
      </w:r>
      <w:proofErr w:type="spellStart"/>
      <w:r>
        <w:t>Мін</w:t>
      </w:r>
      <w:r>
        <w:t>природи</w:t>
      </w:r>
      <w:proofErr w:type="spellEnd"/>
      <w:r>
        <w:t>. ЕПЛ посилалася на положення національного зако</w:t>
      </w:r>
      <w:r>
        <w:softHyphen/>
        <w:t xml:space="preserve">нодавства та вимоги </w:t>
      </w:r>
      <w:proofErr w:type="spellStart"/>
      <w:r>
        <w:t>Оргуської</w:t>
      </w:r>
      <w:proofErr w:type="spellEnd"/>
      <w:r>
        <w:t xml:space="preserve"> конвенції про обов’язок державного органу повідомити громадськості текст остаточного рішення разом з переліком причин і міркувань, покладених в основу цього рішення. Суд </w:t>
      </w:r>
      <w:r>
        <w:t xml:space="preserve">першої інстанції погодився із аргументацією ЕПЛ та зобов’язав </w:t>
      </w:r>
      <w:proofErr w:type="spellStart"/>
      <w:r>
        <w:t>Мінприроди</w:t>
      </w:r>
      <w:proofErr w:type="spellEnd"/>
      <w:r>
        <w:t xml:space="preserve"> розмістити на своєму сайті 1293 висновки, видані протягом 2009 — першої половини 2011 років. Наприкінці 2012 року Київський апеляційний адміністративний суд підтримав рішення місцевог</w:t>
      </w:r>
      <w:r>
        <w:t>о суду.</w:t>
      </w:r>
    </w:p>
    <w:p w:rsidR="00234F0E" w:rsidRDefault="00A56BB5" w:rsidP="00786C87">
      <w:pPr>
        <w:pStyle w:val="40"/>
        <w:shd w:val="clear" w:color="auto" w:fill="auto"/>
        <w:spacing w:before="0" w:line="259" w:lineRule="exact"/>
        <w:ind w:left="400" w:right="240" w:firstLine="280"/>
        <w:jc w:val="both"/>
      </w:pPr>
      <w:r>
        <w:t xml:space="preserve">У січні-березні 2013 року </w:t>
      </w:r>
      <w:proofErr w:type="spellStart"/>
      <w:r>
        <w:t>Мінприроди</w:t>
      </w:r>
      <w:proofErr w:type="spellEnd"/>
      <w:r>
        <w:t xml:space="preserve"> розмістило на сайті понад тисячу висновків ДЕЕ. Разом з тим, </w:t>
      </w:r>
      <w:proofErr w:type="spellStart"/>
      <w:r>
        <w:t>Мінприроди</w:t>
      </w:r>
      <w:proofErr w:type="spellEnd"/>
      <w:r>
        <w:t xml:space="preserve"> обмежилася «титульними сторін</w:t>
      </w:r>
      <w:r>
        <w:softHyphen/>
        <w:t xml:space="preserve">ками» висновків, які містять лише деякі елементи його вступної та заключної частин (короткі документи на 1-2 </w:t>
      </w:r>
      <w:r>
        <w:t xml:space="preserve">сторінки на бланку </w:t>
      </w:r>
      <w:proofErr w:type="spellStart"/>
      <w:r>
        <w:t>Мінприроди</w:t>
      </w:r>
      <w:proofErr w:type="spellEnd"/>
      <w:r>
        <w:t xml:space="preserve"> і за під</w:t>
      </w:r>
      <w:r>
        <w:softHyphen/>
        <w:t>писом посадової особи), і не розмістило наукові-еколого експертні оцінки, які є невід’ємними частинами висновків ДЕЕ, і містять їхні основні — усю описову та основну долю заключної — частини.</w:t>
      </w:r>
    </w:p>
    <w:p w:rsidR="00234F0E" w:rsidRDefault="00A56BB5" w:rsidP="00786C87">
      <w:pPr>
        <w:pStyle w:val="40"/>
        <w:shd w:val="clear" w:color="auto" w:fill="auto"/>
        <w:spacing w:before="0" w:line="259" w:lineRule="exact"/>
        <w:ind w:left="400" w:right="240" w:firstLine="280"/>
        <w:jc w:val="both"/>
      </w:pPr>
      <w:r>
        <w:t xml:space="preserve">25 березня 2013 року на </w:t>
      </w:r>
      <w:r>
        <w:t>стадії судового контролю за виконанням судового рішення Окружний адміністративний суд м. Києва, розглянувши пояснен</w:t>
      </w:r>
      <w:r>
        <w:softHyphen/>
        <w:t xml:space="preserve">ня ЕПЛ щодо виконання рішення, зобов’язав </w:t>
      </w:r>
      <w:proofErr w:type="spellStart"/>
      <w:r>
        <w:t>Мінприроди</w:t>
      </w:r>
      <w:proofErr w:type="spellEnd"/>
      <w:r>
        <w:t xml:space="preserve"> опублікувати в Інтернеті висновки ДЕЕ в обсязі, визначеному ст. 43 Закону </w:t>
      </w:r>
      <w:r>
        <w:lastRenderedPageBreak/>
        <w:t xml:space="preserve">України «Про </w:t>
      </w:r>
      <w:r>
        <w:t>екологічну експертизу», тобто опублікувати в мережі 1293 наукові еколого- експертні оцінки.</w:t>
      </w:r>
    </w:p>
    <w:p w:rsidR="00234F0E" w:rsidRDefault="00A56BB5" w:rsidP="00786C87">
      <w:pPr>
        <w:pStyle w:val="40"/>
        <w:shd w:val="clear" w:color="auto" w:fill="auto"/>
        <w:spacing w:before="0" w:after="167"/>
        <w:ind w:left="320" w:right="240" w:firstLine="260"/>
        <w:jc w:val="both"/>
      </w:pPr>
      <w:r>
        <w:t>До 2011 року при прийнятті документації на державну екологічну екс</w:t>
      </w:r>
      <w:r>
        <w:softHyphen/>
        <w:t xml:space="preserve">пертизу </w:t>
      </w:r>
      <w:proofErr w:type="spellStart"/>
      <w:r>
        <w:t>Мінприроди</w:t>
      </w:r>
      <w:proofErr w:type="spellEnd"/>
      <w:r>
        <w:t xml:space="preserve"> та його територіальні підрозділи не перевіряли, чи </w:t>
      </w:r>
      <w:r>
        <w:t>процедури участі громадськості реально мали місце, а лише вимагали підтвердження факту опублікування Заяви про екологічні наслідки діяль</w:t>
      </w:r>
      <w:r>
        <w:softHyphen/>
        <w:t>ності. Змісту такої заяви особливої уваги теж не приділялося. В результаті громадськість була позбавлена доступу до інф</w:t>
      </w:r>
      <w:r>
        <w:t>ормації про основні умови планової діяльності та заходи щодо зменшення її впливу на довкілля, описані у ОВНС, вже не говорячи про реальну можливість якось на них впливати.</w:t>
      </w:r>
    </w:p>
    <w:p w:rsidR="00234F0E" w:rsidRDefault="00A56BB5" w:rsidP="00786C87">
      <w:pPr>
        <w:pStyle w:val="50"/>
        <w:shd w:val="clear" w:color="auto" w:fill="auto"/>
        <w:spacing w:before="0" w:after="19" w:line="220" w:lineRule="exact"/>
        <w:ind w:left="320" w:firstLine="0"/>
        <w:jc w:val="left"/>
      </w:pPr>
      <w:r>
        <w:t>Справа 3: Витребування матеріалів ОВНС від забруднювача</w:t>
      </w:r>
    </w:p>
    <w:p w:rsidR="00234F0E" w:rsidRDefault="00A56BB5" w:rsidP="00786C87">
      <w:pPr>
        <w:pStyle w:val="40"/>
        <w:shd w:val="clear" w:color="auto" w:fill="auto"/>
        <w:spacing w:before="0" w:line="264" w:lineRule="exact"/>
        <w:ind w:left="320" w:right="320" w:firstLine="260"/>
        <w:jc w:val="both"/>
      </w:pPr>
      <w:r>
        <w:t>На початку 2010 року ЕПЛ оск</w:t>
      </w:r>
      <w:r>
        <w:t>аржила до господарського суду відмови керівництва великого цементного заводу надати ЕПЛ матеріали ОВНС про</w:t>
      </w:r>
      <w:r>
        <w:softHyphen/>
        <w:t>екту розширення заводу та переводу обертових печей з природного газу на вугілля та альтернативне паливо, а також висновок ДЕЕ на такий проект. Суд пе</w:t>
      </w:r>
      <w:r>
        <w:t>ршої інстанції зобов’язав відповідача надати доступ до таких документів, але вже суд апеляційної інстанції таке рішення скасував.</w:t>
      </w:r>
    </w:p>
    <w:p w:rsidR="00234F0E" w:rsidRDefault="00A56BB5" w:rsidP="00786C87">
      <w:pPr>
        <w:pStyle w:val="40"/>
        <w:shd w:val="clear" w:color="auto" w:fill="auto"/>
        <w:spacing w:before="0" w:line="264" w:lineRule="exact"/>
        <w:ind w:left="320" w:right="320" w:firstLine="260"/>
        <w:jc w:val="both"/>
      </w:pPr>
      <w:r>
        <w:t>Задовольняючи позовні вимоги ЕПЛ щодо зобов’язання відповідача на</w:t>
      </w:r>
      <w:r>
        <w:softHyphen/>
        <w:t xml:space="preserve">дати позивачу матеріали ОВНС та висновок ДЕЕ, господарський </w:t>
      </w:r>
      <w:r>
        <w:t>суд першої інстанції виходив з того, що за змістом ці документи містять екологічну інформацію, а відповідно до ст. 25-1 Закону України «Про охорону навко</w:t>
      </w:r>
      <w:r>
        <w:softHyphen/>
        <w:t>лишнього природного середовища», підприємства, установи та організації, діяльність яких може негативно</w:t>
      </w:r>
      <w:r>
        <w:t xml:space="preserve"> вплинути або впливає на стан навколишнього природного середовища, життя і здоров’я людей, зобов’язані забезпечувати вільний доступ населення до інформації про стан навколишнього природ</w:t>
      </w:r>
      <w:r>
        <w:softHyphen/>
        <w:t xml:space="preserve">ного середовища, і відповідно на відповідача законодавством покладено </w:t>
      </w:r>
      <w:r>
        <w:t>обов’язок надавати запитувану інформацію.</w:t>
      </w:r>
    </w:p>
    <w:p w:rsidR="00234F0E" w:rsidRDefault="00A56BB5" w:rsidP="00786C87">
      <w:pPr>
        <w:pStyle w:val="40"/>
        <w:shd w:val="clear" w:color="auto" w:fill="auto"/>
        <w:spacing w:before="0" w:after="112" w:line="264" w:lineRule="exact"/>
        <w:ind w:left="320" w:right="320" w:firstLine="260"/>
        <w:jc w:val="both"/>
      </w:pPr>
      <w:r>
        <w:t>У січні 2011 року Вищий господарський суд помилкове рішення суду апе</w:t>
      </w:r>
      <w:r>
        <w:softHyphen/>
        <w:t>ляційної інстанції скасував і відновив в силі рішення суду першої інстанції, яке оцінив як законне і обґрунтоване.</w:t>
      </w:r>
    </w:p>
    <w:p w:rsidR="00234F0E" w:rsidRDefault="00A56BB5" w:rsidP="00786C87">
      <w:pPr>
        <w:pStyle w:val="40"/>
        <w:shd w:val="clear" w:color="auto" w:fill="auto"/>
        <w:spacing w:before="0" w:line="274" w:lineRule="exact"/>
        <w:ind w:left="220" w:right="240" w:firstLine="260"/>
        <w:jc w:val="both"/>
      </w:pPr>
      <w:r>
        <w:t xml:space="preserve">Дана система оцінки впливу </w:t>
      </w:r>
      <w:r>
        <w:t>мала низку суттєвих недоліків (законодав</w:t>
      </w:r>
      <w:r>
        <w:softHyphen/>
        <w:t xml:space="preserve">чого і практичного характеру), які спричинили порушення Україною своїх міжнародних зобов’язань за </w:t>
      </w:r>
      <w:proofErr w:type="spellStart"/>
      <w:r>
        <w:t>Оргуською</w:t>
      </w:r>
      <w:proofErr w:type="spellEnd"/>
      <w:r>
        <w:t xml:space="preserve"> конвенцією та Конвенцією </w:t>
      </w:r>
      <w:proofErr w:type="spellStart"/>
      <w:r>
        <w:t>Еспо</w:t>
      </w:r>
      <w:proofErr w:type="spellEnd"/>
      <w:r>
        <w:t>. Рішення про порушення Україною вимог цих конвенцій неодноразово приймалися в</w:t>
      </w:r>
      <w:r>
        <w:t>ідповідними органами конвенцій.</w:t>
      </w:r>
    </w:p>
    <w:p w:rsidR="00234F0E" w:rsidRDefault="00A56BB5" w:rsidP="00786C87">
      <w:pPr>
        <w:pStyle w:val="40"/>
        <w:shd w:val="clear" w:color="auto" w:fill="auto"/>
        <w:spacing w:before="0" w:line="274" w:lineRule="exact"/>
        <w:ind w:left="220" w:right="240" w:firstLine="260"/>
        <w:jc w:val="both"/>
      </w:pPr>
      <w:r>
        <w:t>Відсутність чітких процедур доступу до інформації, проведення громад</w:t>
      </w:r>
      <w:r>
        <w:softHyphen/>
        <w:t>ського обговорення, врахування думки громадськості у процесі прийняття рішення, доведення такого рішення до відома громади, а також формальне і часто помил</w:t>
      </w:r>
      <w:r>
        <w:t xml:space="preserve">кове тлумачення існуючих норм призводили до обмеження </w:t>
      </w:r>
      <w:r>
        <w:lastRenderedPageBreak/>
        <w:t>доступу до інформації, порушення прав громадськості на участь у процесі прийняття екологічно значимих рішень та порушення права на безпечне для життя та здоров’я довкілля загалом.</w:t>
      </w:r>
    </w:p>
    <w:p w:rsidR="00234F0E" w:rsidRDefault="00234F0E">
      <w:pPr>
        <w:rPr>
          <w:sz w:val="2"/>
          <w:szCs w:val="2"/>
        </w:rPr>
      </w:pPr>
    </w:p>
    <w:p w:rsidR="00234F0E" w:rsidRDefault="00A56BB5" w:rsidP="00786C87">
      <w:pPr>
        <w:pStyle w:val="40"/>
        <w:shd w:val="clear" w:color="auto" w:fill="auto"/>
        <w:spacing w:before="0" w:after="227"/>
        <w:ind w:left="320" w:firstLine="300"/>
        <w:jc w:val="both"/>
      </w:pPr>
      <w:r>
        <w:t xml:space="preserve">Тим не менше, система оцінки впливу виходила і базувалася на загальних законодавчих принципах екологічної політики держави, і була зафіксована в основному галузевому </w:t>
      </w:r>
      <w:r>
        <w:rPr>
          <w:lang w:val="ru-RU" w:eastAsia="ru-RU" w:bidi="ru-RU"/>
        </w:rPr>
        <w:t xml:space="preserve">ЗУ </w:t>
      </w:r>
      <w:r>
        <w:t xml:space="preserve">«Про охорону навколишнього природного середовища» та спеціальному </w:t>
      </w:r>
      <w:r>
        <w:rPr>
          <w:lang w:val="ru-RU" w:eastAsia="ru-RU" w:bidi="ru-RU"/>
        </w:rPr>
        <w:t xml:space="preserve">ЗУ </w:t>
      </w:r>
      <w:r>
        <w:t>«Про екологічну е</w:t>
      </w:r>
      <w:r>
        <w:t>кспертизу». Висновок державної екологічної експертизи був актом органу державної влади і це остаточне рішення можна було оскаржити в адміністративному суді, в тому числі, з підстав порушення вимог екологічного законодавства та процедури залучення громадськ</w:t>
      </w:r>
      <w:r>
        <w:t>ості до процесу його прийняття.</w:t>
      </w:r>
    </w:p>
    <w:p w:rsidR="00234F0E" w:rsidRPr="00786C87" w:rsidRDefault="00A56BB5" w:rsidP="00786C87">
      <w:pPr>
        <w:pStyle w:val="220"/>
        <w:shd w:val="clear" w:color="auto" w:fill="auto"/>
        <w:spacing w:before="0" w:after="81" w:line="220" w:lineRule="exact"/>
        <w:ind w:left="320" w:firstLine="300"/>
      </w:pPr>
      <w:bookmarkStart w:id="2" w:name="bookmark2"/>
      <w:r w:rsidRPr="00786C87">
        <w:rPr>
          <w:rStyle w:val="22TimesNewRoman11pt0pt"/>
          <w:rFonts w:eastAsia="Arial"/>
          <w:b/>
        </w:rPr>
        <w:t>1.2.</w:t>
      </w:r>
      <w:r w:rsidRPr="00786C87">
        <w:rPr>
          <w:rStyle w:val="22TimesNewRoman11pt0pt"/>
          <w:rFonts w:eastAsia="Arial"/>
        </w:rPr>
        <w:t xml:space="preserve"> </w:t>
      </w:r>
      <w:r w:rsidRPr="00786C87">
        <w:rPr>
          <w:rFonts w:ascii="Times New Roman" w:hAnsi="Times New Roman" w:cs="Times New Roman"/>
        </w:rPr>
        <w:t>ОВНС ТА ДОЗВІЛ НА БУДІВНИЦТВО</w:t>
      </w:r>
      <w:bookmarkEnd w:id="2"/>
    </w:p>
    <w:p w:rsidR="00234F0E" w:rsidRDefault="00A56BB5" w:rsidP="00786C87">
      <w:pPr>
        <w:pStyle w:val="40"/>
        <w:shd w:val="clear" w:color="auto" w:fill="auto"/>
        <w:spacing w:before="0"/>
        <w:ind w:left="320"/>
        <w:jc w:val="both"/>
      </w:pPr>
      <w:r>
        <w:t xml:space="preserve">У зв’язку із прийняттям Закону України «Про регулювання містобудівної діяльності» від 17 лютого 2011 р. № </w:t>
      </w:r>
      <w:r w:rsidRPr="00786C87">
        <w:rPr>
          <w:lang w:eastAsia="en-US" w:bidi="en-US"/>
        </w:rPr>
        <w:t>3038-</w:t>
      </w:r>
      <w:r>
        <w:rPr>
          <w:lang w:val="en-US" w:eastAsia="en-US" w:bidi="en-US"/>
        </w:rPr>
        <w:t>VI</w:t>
      </w:r>
      <w:r w:rsidRPr="00786C87">
        <w:rPr>
          <w:lang w:eastAsia="en-US" w:bidi="en-US"/>
        </w:rPr>
        <w:t xml:space="preserve">, </w:t>
      </w:r>
      <w:r>
        <w:t>згідно з яким було спрощено порядок отримання дозволі</w:t>
      </w:r>
      <w:bookmarkStart w:id="3" w:name="_GoBack"/>
      <w:bookmarkEnd w:id="3"/>
      <w:r>
        <w:t>в на будівництво та в</w:t>
      </w:r>
      <w:r>
        <w:t>иключено проекти будів</w:t>
      </w:r>
      <w:r>
        <w:softHyphen/>
        <w:t>ництва щодо об’єктів, що становлять підвищену екологічну небезпеку, із переліку об’єктів державної екологічної експертизи, в системі оцінки впливу проектів на навколишнє середовище відбулись суттєві зміни.</w:t>
      </w:r>
    </w:p>
    <w:p w:rsidR="00234F0E" w:rsidRDefault="00A56BB5" w:rsidP="00786C87">
      <w:pPr>
        <w:pStyle w:val="40"/>
        <w:shd w:val="clear" w:color="auto" w:fill="auto"/>
        <w:spacing w:before="0"/>
        <w:ind w:left="320" w:firstLine="300"/>
        <w:jc w:val="both"/>
      </w:pPr>
      <w:r>
        <w:t>Цей закон своїми перехідним</w:t>
      </w:r>
      <w:r>
        <w:t xml:space="preserve">и положеннями </w:t>
      </w:r>
      <w:proofErr w:type="spellStart"/>
      <w:r>
        <w:t>вніс</w:t>
      </w:r>
      <w:proofErr w:type="spellEnd"/>
      <w:r>
        <w:t xml:space="preserve"> зміни в цілу низку за</w:t>
      </w:r>
      <w:r>
        <w:softHyphen/>
        <w:t xml:space="preserve">конодавства, а саме в </w:t>
      </w:r>
      <w:r>
        <w:rPr>
          <w:lang w:val="ru-RU" w:eastAsia="ru-RU" w:bidi="ru-RU"/>
        </w:rPr>
        <w:t xml:space="preserve">ЗУ </w:t>
      </w:r>
      <w:r>
        <w:t>«Про охорону навколишнього природного середо</w:t>
      </w:r>
      <w:r>
        <w:softHyphen/>
        <w:t xml:space="preserve">вища», </w:t>
      </w:r>
      <w:r>
        <w:rPr>
          <w:lang w:val="ru-RU" w:eastAsia="ru-RU" w:bidi="ru-RU"/>
        </w:rPr>
        <w:t xml:space="preserve">ЗУ </w:t>
      </w:r>
      <w:r>
        <w:t xml:space="preserve">«Про екологічну експертизу», </w:t>
      </w:r>
      <w:r>
        <w:rPr>
          <w:lang w:val="ru-RU" w:eastAsia="ru-RU" w:bidi="ru-RU"/>
        </w:rPr>
        <w:t xml:space="preserve">ЗУ </w:t>
      </w:r>
      <w:r>
        <w:t xml:space="preserve">«Про забезпечення санітарного та епідемічного благополуччя населення», </w:t>
      </w:r>
      <w:r>
        <w:rPr>
          <w:lang w:val="ru-RU" w:eastAsia="ru-RU" w:bidi="ru-RU"/>
        </w:rPr>
        <w:t xml:space="preserve">ЗУ </w:t>
      </w:r>
      <w:r>
        <w:t>«Про пожежну безпеку» та викл</w:t>
      </w:r>
      <w:r>
        <w:t>ючив з цих законів положення, що передбачали відповідно екологічну, санітарно-гігієнічну і пожежну експертизи проектів будівництва. Скасо</w:t>
      </w:r>
      <w:r>
        <w:softHyphen/>
        <w:t>вуючи такі експертизи для проектів будівництва, в ці закони були введені нові положення, які встановили, що єдина експ</w:t>
      </w:r>
      <w:r>
        <w:t xml:space="preserve">ертиза проектів будівництва проводиться відповідно до статті 31 </w:t>
      </w:r>
      <w:r w:rsidRPr="00786C87">
        <w:rPr>
          <w:lang w:eastAsia="ru-RU" w:bidi="ru-RU"/>
        </w:rPr>
        <w:t xml:space="preserve">ЗУ </w:t>
      </w:r>
      <w:r>
        <w:t>«Про регулювання містобудівної діяльності». Ці положення закону вступили в силу 12 червня 2011 року.</w:t>
      </w:r>
    </w:p>
    <w:p w:rsidR="00234F0E" w:rsidRDefault="00A56BB5" w:rsidP="00786C87">
      <w:pPr>
        <w:pStyle w:val="40"/>
        <w:shd w:val="clear" w:color="auto" w:fill="auto"/>
        <w:spacing w:before="0" w:line="274" w:lineRule="exact"/>
        <w:ind w:left="320" w:firstLine="300"/>
        <w:jc w:val="both"/>
      </w:pPr>
      <w:r>
        <w:t xml:space="preserve">Стаття 31 передбачає, що експертизі щодо додержання нормативів з питань санітарного та </w:t>
      </w:r>
      <w:r>
        <w:t>епідеміологічного благополуччя населення, еколо</w:t>
      </w:r>
      <w:r>
        <w:softHyphen/>
        <w:t>гії, охорони праці, енергозбереження, пожежної, техногенної, ядерної та радіаційної безпеки, міцності, надійності, довговічності будинків і споруд, їхньої експлуатаційної безпеки та інженерного забезпечення п</w:t>
      </w:r>
      <w:r>
        <w:t>ідлягає лише проектна документація на будівництво, об’єктів, які відносяться до 4-5 ка</w:t>
      </w:r>
      <w:r>
        <w:softHyphen/>
        <w:t>тегорій складності. При цьому потенційний чи дійсний вплив на довкілля не є критерієм при визначенні категорії складності об’єкта будівництва</w:t>
      </w:r>
      <w:r>
        <w:rPr>
          <w:vertAlign w:val="superscript"/>
        </w:rPr>
        <w:t>4</w:t>
      </w:r>
      <w:r>
        <w:t>. Співвідношення таких об’є</w:t>
      </w:r>
      <w:r>
        <w:t>ктів і об’єктів, що становлять підвищену еколо</w:t>
      </w:r>
      <w:r>
        <w:softHyphen/>
        <w:t>гічну небезпеку, для яких раніше була обов’язковою екологічна експертиза, певний час залишалося невизначеним. Лише у 2013 році Національним стан</w:t>
      </w:r>
      <w:r>
        <w:softHyphen/>
      </w:r>
    </w:p>
    <w:p w:rsidR="00234F0E" w:rsidRDefault="00234F0E">
      <w:pPr>
        <w:rPr>
          <w:sz w:val="2"/>
          <w:szCs w:val="2"/>
        </w:rPr>
        <w:sectPr w:rsidR="00234F0E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34F0E" w:rsidRDefault="00A56BB5" w:rsidP="00786C87">
      <w:pPr>
        <w:pStyle w:val="40"/>
        <w:shd w:val="clear" w:color="auto" w:fill="auto"/>
        <w:spacing w:before="0"/>
        <w:ind w:left="320"/>
        <w:jc w:val="both"/>
      </w:pPr>
      <w:proofErr w:type="spellStart"/>
      <w:r>
        <w:lastRenderedPageBreak/>
        <w:t>дартом</w:t>
      </w:r>
      <w:proofErr w:type="spellEnd"/>
      <w:r>
        <w:t xml:space="preserve"> було закріплено, що об’єкти, визна</w:t>
      </w:r>
      <w:r>
        <w:t>чені Переліком видів діяльності та об’єктів, що становлять підвищену екологічну небезпеку</w:t>
      </w:r>
      <w:r>
        <w:rPr>
          <w:vertAlign w:val="superscript"/>
        </w:rPr>
        <w:t>5</w:t>
      </w:r>
      <w:r>
        <w:t>, слід відносити до 5 категорії складності</w:t>
      </w:r>
      <w:r>
        <w:rPr>
          <w:vertAlign w:val="superscript"/>
        </w:rPr>
        <w:t>6</w:t>
      </w:r>
      <w:r>
        <w:t>. Закон встановлює, що нова експертиза може про</w:t>
      </w:r>
      <w:r>
        <w:softHyphen/>
        <w:t>водитися експертними організаціями різних форм власності. У більшості випад</w:t>
      </w:r>
      <w:r>
        <w:t>ків таку експертизу зараз здійснюють приватні підприємства, ті самі, що розробляють проектну документацію, в тому числі матеріали ОВНС. Щоправда, забороняється здійснювати розробку документації та експертизу одного і того ж проекту одній і тій же особі</w:t>
      </w:r>
      <w:r>
        <w:rPr>
          <w:vertAlign w:val="superscript"/>
        </w:rPr>
        <w:t>7</w:t>
      </w:r>
      <w:r>
        <w:t>. К</w:t>
      </w:r>
      <w:r>
        <w:t>рім того, закон вимагає, аби експертиза проектів, що споруджуються за рахунок бюджетних коштів, коштів державних і комунальних підприємств, установ та організацій, а також кредитів, наданих під державні гарантії, здійснювалася експертною організацією держа</w:t>
      </w:r>
      <w:r>
        <w:t>вної форми власності.</w:t>
      </w:r>
    </w:p>
    <w:p w:rsidR="00234F0E" w:rsidRDefault="00A56BB5" w:rsidP="00786C87">
      <w:pPr>
        <w:pStyle w:val="40"/>
        <w:shd w:val="clear" w:color="auto" w:fill="auto"/>
        <w:spacing w:before="0"/>
        <w:ind w:left="240" w:right="200" w:firstLine="220"/>
        <w:jc w:val="both"/>
      </w:pPr>
      <w:r>
        <w:t>Згідно з новим порядком, для проектної документації на будівництво об’єктів, що становлять підвищену екологічну небезпеку, і далі необ</w:t>
      </w:r>
      <w:r>
        <w:softHyphen/>
        <w:t>хідно розробити ОВНС згідно ДБН. Матеріали ОВНС, щоправда, тепер розглядаються разом із рештою прое</w:t>
      </w:r>
      <w:r>
        <w:t>ктної документації за процедурою містобудівної експертизи, тобто не спеціальним уповноваженим органом у сфері охорони навколишнього середовища, а експертною організацією, яка відповідає критеріям, затвердженим Міністерством регіонального розвитку, будівниц</w:t>
      </w:r>
      <w:r>
        <w:t>тва та житлово-комунального господарства України (</w:t>
      </w:r>
      <w:proofErr w:type="spellStart"/>
      <w:r>
        <w:t>Мінрегіон</w:t>
      </w:r>
      <w:proofErr w:type="spellEnd"/>
      <w:r>
        <w:t>). До проведення такої експертизи залучаються фахівці в сфері екології, сертифіковані Атестаційною архітектурно-будівельною комісією, але не спеціальний держорган</w:t>
      </w:r>
      <w:r>
        <w:rPr>
          <w:vertAlign w:val="superscript"/>
        </w:rPr>
        <w:t>8</w:t>
      </w:r>
      <w:r>
        <w:t>. Професійну атестацію таких експе</w:t>
      </w:r>
      <w:r>
        <w:t>ртів проводить секція Комісії, до складу якої включаються представники від</w:t>
      </w:r>
      <w:r>
        <w:softHyphen/>
        <w:t xml:space="preserve">повідних центральних органів виконавчої влади, в т. ч. </w:t>
      </w:r>
      <w:proofErr w:type="spellStart"/>
      <w:r>
        <w:t>Мінприроди</w:t>
      </w:r>
      <w:proofErr w:type="spellEnd"/>
      <w:r>
        <w:t>.</w:t>
      </w:r>
    </w:p>
    <w:p w:rsidR="00234F0E" w:rsidRDefault="00A56BB5" w:rsidP="00786C87">
      <w:pPr>
        <w:pStyle w:val="40"/>
        <w:shd w:val="clear" w:color="auto" w:fill="auto"/>
        <w:spacing w:before="0" w:line="274" w:lineRule="exact"/>
        <w:ind w:left="240" w:right="200" w:firstLine="220"/>
        <w:jc w:val="both"/>
      </w:pPr>
      <w:r>
        <w:t xml:space="preserve">Спеціальний орган у сфері охорони довкілля до процесу експертизи більше не залучається, а фінальний документ </w:t>
      </w:r>
      <w:r>
        <w:t>експертизи — експертний звіт — вже не є документом дозвільного характеру, законність якого раніше можна було оскаржити в адміністративному суді.</w:t>
      </w:r>
    </w:p>
    <w:p w:rsidR="00234F0E" w:rsidRDefault="00A56BB5" w:rsidP="00786C87">
      <w:pPr>
        <w:pStyle w:val="40"/>
        <w:shd w:val="clear" w:color="auto" w:fill="auto"/>
        <w:spacing w:before="0"/>
        <w:ind w:left="240" w:right="200" w:firstLine="220"/>
        <w:jc w:val="both"/>
      </w:pPr>
      <w:r>
        <w:t>Хоча положення ДБН про ОВНС, як і раніше, встановлюють певні мінімальні процедури участі громадськості в процес</w:t>
      </w:r>
      <w:r>
        <w:t>і розробки ОВНС,</w:t>
      </w:r>
    </w:p>
    <w:p w:rsidR="00234F0E" w:rsidRDefault="00A56BB5" w:rsidP="00786C87">
      <w:pPr>
        <w:pStyle w:val="40"/>
        <w:shd w:val="clear" w:color="auto" w:fill="auto"/>
        <w:spacing w:before="0"/>
        <w:ind w:left="240" w:right="200"/>
        <w:jc w:val="both"/>
      </w:pPr>
      <w:r>
        <w:t xml:space="preserve">розірвання зв’язку інституту ОВНС із </w:t>
      </w:r>
      <w:r w:rsidRPr="00786C87">
        <w:rPr>
          <w:lang w:eastAsia="ru-RU" w:bidi="ru-RU"/>
        </w:rPr>
        <w:t xml:space="preserve">ЗУ </w:t>
      </w:r>
      <w:r>
        <w:t xml:space="preserve">«Про охорону навколишнього природного середовища», який гарантував таке право, та </w:t>
      </w:r>
      <w:r w:rsidRPr="00786C87">
        <w:rPr>
          <w:lang w:eastAsia="ru-RU" w:bidi="ru-RU"/>
        </w:rPr>
        <w:t xml:space="preserve">ЗУ </w:t>
      </w:r>
      <w:r>
        <w:t>«Про еколо</w:t>
      </w:r>
      <w:r>
        <w:softHyphen/>
        <w:t>гічну експертизу», який передбачав гласність експертизи, значно підірвали можливо</w:t>
      </w:r>
      <w:r>
        <w:t>сті громадськості брати участь у процесі прийняття рішення. Законодавство України у сфері регулювання містобудівної діяльності не закріплює права громадськості на участь у прийнятті рішень щодо будів</w:t>
      </w:r>
      <w:r>
        <w:softHyphen/>
        <w:t>ництва окремих об’єктів. На стадіях експертизи проектної</w:t>
      </w:r>
      <w:r>
        <w:t xml:space="preserve"> документації на будівництво чи видачі дозволу на будівництво не передбачено жодних процесуальних гарантій перевірки належного залучення громадськості </w:t>
      </w:r>
      <w:r>
        <w:lastRenderedPageBreak/>
        <w:t>розробником ОВНС на стадії підготовки цих матеріалів.</w:t>
      </w:r>
    </w:p>
    <w:p w:rsidR="00234F0E" w:rsidRDefault="00A56BB5" w:rsidP="00786C87">
      <w:pPr>
        <w:pStyle w:val="40"/>
        <w:shd w:val="clear" w:color="auto" w:fill="auto"/>
        <w:spacing w:before="0"/>
        <w:ind w:left="240" w:right="140" w:firstLine="280"/>
        <w:jc w:val="both"/>
      </w:pPr>
      <w:r>
        <w:t xml:space="preserve">Внаслідок вищевказаних змін у процедурі оцінки </w:t>
      </w:r>
      <w:r>
        <w:t>впливу на навколишнє середовище Україна іще більше віддалилася від європейського зразка, а при</w:t>
      </w:r>
      <w:r>
        <w:softHyphen/>
        <w:t>йнята законодавча база зробила іще складнішим виконання міжнародних зобов’язань у сфері участі громадськості та оцінки впливу на навколишнє середовище у транскор</w:t>
      </w:r>
      <w:r>
        <w:t>донному контексті.</w:t>
      </w:r>
    </w:p>
    <w:p w:rsidR="00234F0E" w:rsidRDefault="00234F0E">
      <w:pPr>
        <w:rPr>
          <w:sz w:val="2"/>
          <w:szCs w:val="2"/>
        </w:rPr>
      </w:pPr>
    </w:p>
    <w:sectPr w:rsidR="00234F0E">
      <w:pgSz w:w="8400" w:h="1190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BB5" w:rsidRDefault="00A56BB5">
      <w:r>
        <w:separator/>
      </w:r>
    </w:p>
  </w:endnote>
  <w:endnote w:type="continuationSeparator" w:id="0">
    <w:p w:rsidR="00A56BB5" w:rsidRDefault="00A56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BB5" w:rsidRDefault="00A56BB5">
      <w:r>
        <w:separator/>
      </w:r>
    </w:p>
  </w:footnote>
  <w:footnote w:type="continuationSeparator" w:id="0">
    <w:p w:rsidR="00A56BB5" w:rsidRDefault="00A56B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F0E"/>
    <w:rsid w:val="00234F0E"/>
    <w:rsid w:val="00786C87"/>
    <w:rsid w:val="00A5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11">
    <w:name w:val="Заголовок №1"/>
    <w:basedOn w:val="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22">
    <w:name w:val="Заголовок №2 (2)_"/>
    <w:basedOn w:val="a0"/>
    <w:link w:val="220"/>
    <w:rPr>
      <w:rFonts w:ascii="Arial" w:eastAsia="Arial" w:hAnsi="Arial" w:cs="Arial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4">
    <w:name w:val="Основни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и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41">
    <w:name w:val="Основни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uk-UA" w:eastAsia="uk-UA" w:bidi="uk-UA"/>
    </w:rPr>
  </w:style>
  <w:style w:type="character" w:customStyle="1" w:styleId="22TimesNewRoman11pt0pt">
    <w:name w:val="Заголовок №2 (2) + Times New Roman;11 pt;Не напівжирний;Інтервал 0 pt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312" w:lineRule="exact"/>
      <w:jc w:val="center"/>
      <w:outlineLvl w:val="0"/>
    </w:pPr>
    <w:rPr>
      <w:rFonts w:ascii="Arial" w:eastAsia="Arial" w:hAnsi="Arial" w:cs="Arial"/>
      <w:b/>
      <w:bCs/>
      <w:sz w:val="21"/>
      <w:szCs w:val="21"/>
    </w:rPr>
  </w:style>
  <w:style w:type="paragraph" w:customStyle="1" w:styleId="220">
    <w:name w:val="Заголовок №2 (2)"/>
    <w:basedOn w:val="a"/>
    <w:link w:val="22"/>
    <w:pPr>
      <w:shd w:val="clear" w:color="auto" w:fill="FFFFFF"/>
      <w:spacing w:before="300" w:after="120" w:line="0" w:lineRule="atLeast"/>
      <w:ind w:firstLine="280"/>
      <w:jc w:val="both"/>
      <w:outlineLvl w:val="1"/>
    </w:pPr>
    <w:rPr>
      <w:rFonts w:ascii="Arial" w:eastAsia="Arial" w:hAnsi="Arial" w:cs="Arial"/>
      <w:b/>
      <w:bCs/>
      <w:spacing w:val="10"/>
      <w:sz w:val="21"/>
      <w:szCs w:val="21"/>
    </w:rPr>
  </w:style>
  <w:style w:type="paragraph" w:customStyle="1" w:styleId="40">
    <w:name w:val="Основний текст (4)"/>
    <w:basedOn w:val="a"/>
    <w:link w:val="4"/>
    <w:pPr>
      <w:shd w:val="clear" w:color="auto" w:fill="FFFFFF"/>
      <w:spacing w:before="60" w:line="278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ий текст (5)"/>
    <w:basedOn w:val="a"/>
    <w:link w:val="5"/>
    <w:pPr>
      <w:shd w:val="clear" w:color="auto" w:fill="FFFFFF"/>
      <w:spacing w:before="300" w:line="269" w:lineRule="exact"/>
      <w:ind w:firstLine="280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11">
    <w:name w:val="Заголовок №1"/>
    <w:basedOn w:val="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22">
    <w:name w:val="Заголовок №2 (2)_"/>
    <w:basedOn w:val="a0"/>
    <w:link w:val="220"/>
    <w:rPr>
      <w:rFonts w:ascii="Arial" w:eastAsia="Arial" w:hAnsi="Arial" w:cs="Arial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4">
    <w:name w:val="Основни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и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41">
    <w:name w:val="Основни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uk-UA" w:eastAsia="uk-UA" w:bidi="uk-UA"/>
    </w:rPr>
  </w:style>
  <w:style w:type="character" w:customStyle="1" w:styleId="22TimesNewRoman11pt0pt">
    <w:name w:val="Заголовок №2 (2) + Times New Roman;11 pt;Не напівжирний;Інтервал 0 pt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312" w:lineRule="exact"/>
      <w:jc w:val="center"/>
      <w:outlineLvl w:val="0"/>
    </w:pPr>
    <w:rPr>
      <w:rFonts w:ascii="Arial" w:eastAsia="Arial" w:hAnsi="Arial" w:cs="Arial"/>
      <w:b/>
      <w:bCs/>
      <w:sz w:val="21"/>
      <w:szCs w:val="21"/>
    </w:rPr>
  </w:style>
  <w:style w:type="paragraph" w:customStyle="1" w:styleId="220">
    <w:name w:val="Заголовок №2 (2)"/>
    <w:basedOn w:val="a"/>
    <w:link w:val="22"/>
    <w:pPr>
      <w:shd w:val="clear" w:color="auto" w:fill="FFFFFF"/>
      <w:spacing w:before="300" w:after="120" w:line="0" w:lineRule="atLeast"/>
      <w:ind w:firstLine="280"/>
      <w:jc w:val="both"/>
      <w:outlineLvl w:val="1"/>
    </w:pPr>
    <w:rPr>
      <w:rFonts w:ascii="Arial" w:eastAsia="Arial" w:hAnsi="Arial" w:cs="Arial"/>
      <w:b/>
      <w:bCs/>
      <w:spacing w:val="10"/>
      <w:sz w:val="21"/>
      <w:szCs w:val="21"/>
    </w:rPr>
  </w:style>
  <w:style w:type="paragraph" w:customStyle="1" w:styleId="40">
    <w:name w:val="Основний текст (4)"/>
    <w:basedOn w:val="a"/>
    <w:link w:val="4"/>
    <w:pPr>
      <w:shd w:val="clear" w:color="auto" w:fill="FFFFFF"/>
      <w:spacing w:before="60" w:line="278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ий текст (5)"/>
    <w:basedOn w:val="a"/>
    <w:link w:val="5"/>
    <w:pPr>
      <w:shd w:val="clear" w:color="auto" w:fill="FFFFFF"/>
      <w:spacing w:before="300" w:line="269" w:lineRule="exact"/>
      <w:ind w:firstLine="280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11635</Words>
  <Characters>6632</Characters>
  <Application>Microsoft Office Word</Application>
  <DocSecurity>0</DocSecurity>
  <Lines>55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Шаповалова</dc:creator>
  <cp:lastModifiedBy>Анна Шаповалова</cp:lastModifiedBy>
  <cp:revision>1</cp:revision>
  <dcterms:created xsi:type="dcterms:W3CDTF">2016-01-20T11:56:00Z</dcterms:created>
  <dcterms:modified xsi:type="dcterms:W3CDTF">2016-01-20T12:01:00Z</dcterms:modified>
</cp:coreProperties>
</file>