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8215D" w:rsidRDefault="00060502" w:rsidP="0028215D">
      <w:pPr>
        <w:pStyle w:val="Style12"/>
        <w:widowControl/>
        <w:spacing w:before="43"/>
        <w:ind w:left="-284"/>
        <w:jc w:val="center"/>
        <w:rPr>
          <w:rStyle w:val="FontStyle23"/>
          <w:b/>
        </w:rPr>
      </w:pPr>
      <w:r w:rsidRPr="0028215D">
        <w:rPr>
          <w:rStyle w:val="FontStyle23"/>
          <w:b/>
          <w:lang w:val="uk-UA"/>
        </w:rPr>
        <w:t xml:space="preserve">ДЕРЖАВНИЙ </w:t>
      </w:r>
      <w:r w:rsidRPr="0028215D">
        <w:rPr>
          <w:rStyle w:val="FontStyle23"/>
          <w:b/>
        </w:rPr>
        <w:t>КРЕДИТ</w:t>
      </w:r>
    </w:p>
    <w:p w:rsidR="00000000" w:rsidRDefault="00060502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060502">
      <w:pPr>
        <w:pStyle w:val="Style14"/>
        <w:widowControl/>
        <w:spacing w:before="24"/>
        <w:jc w:val="center"/>
        <w:rPr>
          <w:rStyle w:val="FontStyle22"/>
          <w:lang w:val="uk-UA"/>
        </w:rPr>
      </w:pPr>
      <w:r>
        <w:rPr>
          <w:rStyle w:val="FontStyle22"/>
        </w:rPr>
        <w:t xml:space="preserve">План </w:t>
      </w:r>
      <w:r>
        <w:rPr>
          <w:rStyle w:val="FontStyle22"/>
          <w:lang w:val="uk-UA"/>
        </w:rPr>
        <w:t>(логіка) викладу і засвоєння матеріалу:</w:t>
      </w:r>
    </w:p>
    <w:p w:rsidR="00000000" w:rsidRDefault="00060502" w:rsidP="004732DD">
      <w:pPr>
        <w:pStyle w:val="Style13"/>
        <w:widowControl/>
        <w:numPr>
          <w:ilvl w:val="0"/>
          <w:numId w:val="1"/>
        </w:numPr>
        <w:tabs>
          <w:tab w:val="left" w:pos="312"/>
        </w:tabs>
        <w:spacing w:before="120" w:line="235" w:lineRule="exact"/>
        <w:rPr>
          <w:rStyle w:val="FontStyle22"/>
        </w:rPr>
      </w:pPr>
      <w:r>
        <w:rPr>
          <w:rStyle w:val="FontStyle22"/>
          <w:lang w:val="uk-UA" w:eastAsia="uk-UA"/>
        </w:rPr>
        <w:t>Державний кредит: суть, необхідність, функції</w:t>
      </w:r>
    </w:p>
    <w:p w:rsidR="00000000" w:rsidRDefault="00060502" w:rsidP="0028215D">
      <w:pPr>
        <w:pStyle w:val="Style13"/>
        <w:widowControl/>
        <w:numPr>
          <w:ilvl w:val="0"/>
          <w:numId w:val="1"/>
        </w:numPr>
        <w:tabs>
          <w:tab w:val="left" w:pos="312"/>
        </w:tabs>
        <w:spacing w:line="235" w:lineRule="exact"/>
        <w:rPr>
          <w:rStyle w:val="FontStyle22"/>
        </w:rPr>
      </w:pPr>
      <w:r>
        <w:rPr>
          <w:rStyle w:val="FontStyle22"/>
          <w:lang w:val="uk-UA" w:eastAsia="uk-UA"/>
        </w:rPr>
        <w:t>Види і форми державного кредиту</w:t>
      </w:r>
    </w:p>
    <w:p w:rsidR="00000000" w:rsidRDefault="00060502" w:rsidP="0028215D">
      <w:pPr>
        <w:pStyle w:val="Style13"/>
        <w:widowControl/>
        <w:numPr>
          <w:ilvl w:val="0"/>
          <w:numId w:val="1"/>
        </w:numPr>
        <w:tabs>
          <w:tab w:val="left" w:pos="312"/>
        </w:tabs>
        <w:spacing w:line="235" w:lineRule="exact"/>
        <w:rPr>
          <w:rStyle w:val="FontStyle22"/>
        </w:rPr>
      </w:pPr>
      <w:r>
        <w:rPr>
          <w:rStyle w:val="FontStyle22"/>
          <w:lang w:val="uk-UA" w:eastAsia="uk-UA"/>
        </w:rPr>
        <w:t>Понятт</w:t>
      </w:r>
      <w:r>
        <w:rPr>
          <w:rStyle w:val="FontStyle22"/>
          <w:lang w:val="uk-UA" w:eastAsia="uk-UA"/>
        </w:rPr>
        <w:t>я державного боргу та його класифікація</w:t>
      </w:r>
    </w:p>
    <w:p w:rsidR="00000000" w:rsidRDefault="00060502" w:rsidP="0028215D">
      <w:pPr>
        <w:pStyle w:val="Style13"/>
        <w:widowControl/>
        <w:numPr>
          <w:ilvl w:val="0"/>
          <w:numId w:val="1"/>
        </w:numPr>
        <w:tabs>
          <w:tab w:val="left" w:pos="312"/>
        </w:tabs>
        <w:spacing w:line="235" w:lineRule="exact"/>
        <w:ind w:right="1201"/>
        <w:rPr>
          <w:rStyle w:val="FontStyle22"/>
        </w:rPr>
      </w:pPr>
      <w:r>
        <w:rPr>
          <w:rStyle w:val="FontStyle22"/>
          <w:lang w:val="uk-UA" w:eastAsia="uk-UA"/>
        </w:rPr>
        <w:t>Управління державним боргом Питання для самоконтролю Тестові завдання</w:t>
      </w:r>
    </w:p>
    <w:p w:rsidR="00000000" w:rsidRDefault="00060502">
      <w:pPr>
        <w:pStyle w:val="Style14"/>
        <w:widowControl/>
        <w:spacing w:line="235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Список літератури</w:t>
      </w:r>
    </w:p>
    <w:p w:rsidR="00000000" w:rsidRDefault="00060502">
      <w:pPr>
        <w:pStyle w:val="Style12"/>
        <w:widowControl/>
        <w:spacing w:line="240" w:lineRule="exact"/>
        <w:ind w:left="523"/>
        <w:rPr>
          <w:sz w:val="20"/>
          <w:szCs w:val="20"/>
        </w:rPr>
      </w:pPr>
    </w:p>
    <w:p w:rsidR="00000000" w:rsidRPr="0028215D" w:rsidRDefault="00060502" w:rsidP="004F5D4F">
      <w:pPr>
        <w:pStyle w:val="Style12"/>
        <w:widowControl/>
        <w:spacing w:before="10"/>
        <w:ind w:left="426"/>
        <w:rPr>
          <w:rStyle w:val="FontStyle23"/>
          <w:b/>
          <w:lang w:val="uk-UA"/>
        </w:rPr>
      </w:pPr>
      <w:r w:rsidRPr="0028215D">
        <w:rPr>
          <w:rStyle w:val="FontStyle23"/>
          <w:b/>
        </w:rPr>
        <w:t xml:space="preserve">1. </w:t>
      </w:r>
      <w:r w:rsidRPr="0028215D">
        <w:rPr>
          <w:rStyle w:val="FontStyle23"/>
          <w:b/>
          <w:lang w:val="uk-UA"/>
        </w:rPr>
        <w:t>ДЕРЖАВНИЙ КРЕДИТ: СУТЬ, ЗНАЧЕННЯ, ФУНКЦІЇ</w:t>
      </w:r>
    </w:p>
    <w:p w:rsidR="00000000" w:rsidRDefault="00060502">
      <w:pPr>
        <w:pStyle w:val="Style11"/>
        <w:widowControl/>
        <w:spacing w:before="12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Державний кредит характеризує особливу форму фінансових відносин країни</w:t>
      </w:r>
      <w:r>
        <w:rPr>
          <w:rStyle w:val="FontStyle23"/>
          <w:lang w:val="uk-UA" w:eastAsia="uk-UA"/>
        </w:rPr>
        <w:t xml:space="preserve"> і належить до специфічної ланки державних фінансів.</w:t>
      </w:r>
    </w:p>
    <w:p w:rsidR="00000000" w:rsidRDefault="00060502">
      <w:pPr>
        <w:pStyle w:val="Style11"/>
        <w:widowControl/>
        <w:spacing w:before="5"/>
        <w:ind w:left="360" w:firstLine="0"/>
        <w:jc w:val="left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Сутність державного кредиту визначається:</w:t>
      </w:r>
    </w:p>
    <w:p w:rsidR="00000000" w:rsidRDefault="00060502" w:rsidP="0028215D">
      <w:pPr>
        <w:pStyle w:val="Style10"/>
        <w:widowControl/>
        <w:numPr>
          <w:ilvl w:val="0"/>
          <w:numId w:val="2"/>
        </w:numPr>
        <w:tabs>
          <w:tab w:val="left" w:pos="226"/>
        </w:tabs>
        <w:spacing w:line="235" w:lineRule="exact"/>
        <w:rPr>
          <w:rStyle w:val="FontStyle23"/>
        </w:rPr>
      </w:pPr>
      <w:r>
        <w:rPr>
          <w:rStyle w:val="FontStyle23"/>
          <w:lang w:val="uk-UA" w:eastAsia="uk-UA"/>
        </w:rPr>
        <w:t>за економічним змістом;</w:t>
      </w:r>
    </w:p>
    <w:p w:rsidR="00000000" w:rsidRDefault="00060502" w:rsidP="0028215D">
      <w:pPr>
        <w:pStyle w:val="Style10"/>
        <w:widowControl/>
        <w:numPr>
          <w:ilvl w:val="0"/>
          <w:numId w:val="2"/>
        </w:numPr>
        <w:tabs>
          <w:tab w:val="left" w:pos="226"/>
        </w:tabs>
        <w:spacing w:line="235" w:lineRule="exact"/>
        <w:rPr>
          <w:rStyle w:val="FontStyle23"/>
        </w:rPr>
      </w:pPr>
      <w:r>
        <w:rPr>
          <w:rStyle w:val="FontStyle23"/>
          <w:lang w:val="uk-UA" w:eastAsia="uk-UA"/>
        </w:rPr>
        <w:t>матеріально-речовим втіленням;</w:t>
      </w:r>
    </w:p>
    <w:p w:rsidR="00000000" w:rsidRDefault="00060502" w:rsidP="0028215D">
      <w:pPr>
        <w:pStyle w:val="Style10"/>
        <w:widowControl/>
        <w:numPr>
          <w:ilvl w:val="0"/>
          <w:numId w:val="2"/>
        </w:numPr>
        <w:tabs>
          <w:tab w:val="left" w:pos="226"/>
        </w:tabs>
        <w:spacing w:line="235" w:lineRule="exact"/>
        <w:rPr>
          <w:rStyle w:val="FontStyle23"/>
        </w:rPr>
      </w:pPr>
      <w:r>
        <w:rPr>
          <w:rStyle w:val="FontStyle23"/>
          <w:lang w:val="uk-UA" w:eastAsia="uk-UA"/>
        </w:rPr>
        <w:t>формою прояву;</w:t>
      </w:r>
    </w:p>
    <w:p w:rsidR="00000000" w:rsidRDefault="00060502" w:rsidP="0028215D">
      <w:pPr>
        <w:pStyle w:val="Style10"/>
        <w:widowControl/>
        <w:numPr>
          <w:ilvl w:val="0"/>
          <w:numId w:val="2"/>
        </w:numPr>
        <w:tabs>
          <w:tab w:val="left" w:pos="226"/>
        </w:tabs>
        <w:spacing w:line="235" w:lineRule="exact"/>
        <w:rPr>
          <w:rStyle w:val="FontStyle23"/>
        </w:rPr>
      </w:pPr>
      <w:r>
        <w:rPr>
          <w:rStyle w:val="FontStyle23"/>
          <w:lang w:val="uk-UA" w:eastAsia="uk-UA"/>
        </w:rPr>
        <w:t>юридично-правовим характером.</w:t>
      </w:r>
    </w:p>
    <w:p w:rsidR="00000000" w:rsidRDefault="00060502">
      <w:pPr>
        <w:pStyle w:val="Style11"/>
        <w:widowControl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За економічною сутністю </w:t>
      </w:r>
      <w:r>
        <w:rPr>
          <w:rStyle w:val="FontStyle25"/>
          <w:lang w:val="uk-UA" w:eastAsia="uk-UA"/>
        </w:rPr>
        <w:t xml:space="preserve">державний кредит </w:t>
      </w:r>
      <w:r>
        <w:rPr>
          <w:rStyle w:val="FontStyle23"/>
          <w:lang w:eastAsia="uk-UA"/>
        </w:rPr>
        <w:t xml:space="preserve">- </w:t>
      </w:r>
      <w:r>
        <w:rPr>
          <w:rStyle w:val="FontStyle23"/>
          <w:lang w:val="uk-UA" w:eastAsia="uk-UA"/>
        </w:rPr>
        <w:t>це</w:t>
      </w:r>
      <w:r>
        <w:rPr>
          <w:rStyle w:val="FontStyle23"/>
          <w:lang w:val="uk-UA" w:eastAsia="uk-UA"/>
        </w:rPr>
        <w:t xml:space="preserve"> сукупність економічних відносин, що складаються у держави в особі органів влади </w:t>
      </w:r>
      <w:r>
        <w:rPr>
          <w:rStyle w:val="FontStyle23"/>
          <w:vertAlign w:val="superscript"/>
          <w:lang w:val="uk-UA" w:eastAsia="uk-UA"/>
        </w:rPr>
        <w:t>и</w:t>
      </w:r>
      <w:r>
        <w:rPr>
          <w:rStyle w:val="FontStyle23"/>
          <w:lang w:val="uk-UA" w:eastAsia="uk-UA"/>
        </w:rPr>
        <w:t xml:space="preserve"> управління з фізичними і юридичними особами чи іншими країнами, за яких держава є позичальником, рідше кредитором або гарантом.</w:t>
      </w:r>
    </w:p>
    <w:p w:rsidR="00000000" w:rsidRDefault="00060502">
      <w:pPr>
        <w:pStyle w:val="Style11"/>
        <w:widowControl/>
        <w:ind w:firstLine="355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Класичною формою кредитних відносин виступают</w:t>
      </w:r>
      <w:r>
        <w:rPr>
          <w:rStyle w:val="FontStyle23"/>
          <w:lang w:val="uk-UA" w:eastAsia="uk-UA"/>
        </w:rPr>
        <w:t xml:space="preserve">ь відносини Держави-позичальника, коли держава отримує фінансові ресурси </w:t>
      </w:r>
      <w:r>
        <w:rPr>
          <w:rStyle w:val="FontStyle23"/>
          <w:lang w:eastAsia="uk-UA"/>
        </w:rPr>
        <w:t xml:space="preserve">- </w:t>
      </w:r>
      <w:r>
        <w:rPr>
          <w:rStyle w:val="FontStyle23"/>
          <w:lang w:val="uk-UA" w:eastAsia="uk-UA"/>
        </w:rPr>
        <w:t>позики.</w:t>
      </w:r>
    </w:p>
    <w:p w:rsidR="00000000" w:rsidRDefault="00060502">
      <w:pPr>
        <w:pStyle w:val="Style11"/>
        <w:widowControl/>
        <w:ind w:left="355" w:firstLine="0"/>
        <w:jc w:val="left"/>
        <w:rPr>
          <w:rStyle w:val="FontStyle23"/>
          <w:lang w:val="uk-UA"/>
        </w:rPr>
      </w:pPr>
      <w:r>
        <w:rPr>
          <w:rStyle w:val="FontStyle23"/>
        </w:rPr>
        <w:t xml:space="preserve">Держава-кредитор </w:t>
      </w:r>
      <w:r>
        <w:rPr>
          <w:rStyle w:val="FontStyle23"/>
          <w:lang w:val="uk-UA"/>
        </w:rPr>
        <w:t>надає кредити юридичним та фізичним особам.</w:t>
      </w:r>
    </w:p>
    <w:p w:rsidR="00000000" w:rsidRDefault="00060502">
      <w:pPr>
        <w:pStyle w:val="Style11"/>
        <w:widowControl/>
        <w:spacing w:before="43"/>
        <w:ind w:firstLine="365"/>
        <w:rPr>
          <w:rStyle w:val="FontStyle23"/>
          <w:lang w:val="uk-UA"/>
        </w:rPr>
      </w:pPr>
      <w:r>
        <w:rPr>
          <w:rStyle w:val="FontStyle23"/>
        </w:rPr>
        <w:t xml:space="preserve">Держава-гарант </w:t>
      </w:r>
      <w:r>
        <w:rPr>
          <w:rStyle w:val="FontStyle23"/>
          <w:lang w:val="uk-UA"/>
        </w:rPr>
        <w:t xml:space="preserve">бере </w:t>
      </w:r>
      <w:r>
        <w:rPr>
          <w:rStyle w:val="FontStyle23"/>
        </w:rPr>
        <w:t xml:space="preserve">на себе </w:t>
      </w:r>
      <w:r>
        <w:rPr>
          <w:rStyle w:val="FontStyle23"/>
          <w:lang w:val="uk-UA"/>
        </w:rPr>
        <w:t xml:space="preserve">відповідальність </w:t>
      </w:r>
      <w:r>
        <w:rPr>
          <w:rStyle w:val="FontStyle23"/>
        </w:rPr>
        <w:t xml:space="preserve">за </w:t>
      </w:r>
      <w:r>
        <w:rPr>
          <w:rStyle w:val="FontStyle23"/>
          <w:lang w:val="uk-UA"/>
        </w:rPr>
        <w:t>погашення позик або виконання інших зобо</w:t>
      </w:r>
      <w:r>
        <w:rPr>
          <w:rStyle w:val="FontStyle23"/>
          <w:lang w:val="uk-UA"/>
        </w:rPr>
        <w:t xml:space="preserve">в'язань фізичних або юридичних </w:t>
      </w:r>
      <w:proofErr w:type="gramStart"/>
      <w:r>
        <w:rPr>
          <w:rStyle w:val="FontStyle23"/>
          <w:lang w:val="uk-UA"/>
        </w:rPr>
        <w:t>осіб</w:t>
      </w:r>
      <w:proofErr w:type="gramEnd"/>
      <w:r>
        <w:rPr>
          <w:rStyle w:val="FontStyle23"/>
          <w:lang w:val="uk-UA"/>
        </w:rPr>
        <w:t>, утворюючи таким чином умовний державний кредит.</w:t>
      </w:r>
    </w:p>
    <w:p w:rsidR="00000000" w:rsidRDefault="00060502">
      <w:pPr>
        <w:pStyle w:val="Style11"/>
        <w:widowControl/>
        <w:ind w:firstLine="365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За матеріально-речовим втіленням </w:t>
      </w:r>
      <w:r>
        <w:rPr>
          <w:rStyle w:val="FontStyle25"/>
          <w:lang w:val="uk-UA" w:eastAsia="uk-UA"/>
        </w:rPr>
        <w:t xml:space="preserve">державний </w:t>
      </w:r>
      <w:r>
        <w:rPr>
          <w:rStyle w:val="FontStyle23"/>
          <w:lang w:val="uk-UA" w:eastAsia="uk-UA"/>
        </w:rPr>
        <w:t xml:space="preserve">кредит проявляється у формі руху позикових коштів у результаті вторинного перерозподілу валового внутрішнього продукту. </w:t>
      </w:r>
      <w:r w:rsidR="0028215D" w:rsidRPr="0028215D">
        <w:rPr>
          <w:rStyle w:val="FontStyle23"/>
          <w:lang w:val="uk-UA" w:eastAsia="uk-UA"/>
        </w:rPr>
        <w:t>К</w:t>
      </w:r>
      <w:r w:rsidRPr="0028215D">
        <w:rPr>
          <w:rStyle w:val="FontStyle23"/>
          <w:lang w:val="uk-UA" w:eastAsia="uk-UA"/>
        </w:rPr>
        <w:t>ошти</w:t>
      </w:r>
      <w:r>
        <w:rPr>
          <w:rStyle w:val="FontStyle23"/>
          <w:lang w:val="uk-UA" w:eastAsia="uk-UA"/>
        </w:rPr>
        <w:t xml:space="preserve">, </w:t>
      </w:r>
      <w:r>
        <w:rPr>
          <w:rStyle w:val="FontStyle23"/>
          <w:lang w:val="uk-UA" w:eastAsia="uk-UA"/>
        </w:rPr>
        <w:t xml:space="preserve">що мобілізуються за допомогою державного кредиту, проходять через бюджет, не створюючи окремого фонду грошових коштів. </w:t>
      </w:r>
      <w:proofErr w:type="gramStart"/>
      <w:r>
        <w:rPr>
          <w:rStyle w:val="FontStyle23"/>
          <w:lang w:val="uk-UA" w:eastAsia="uk-UA"/>
        </w:rPr>
        <w:t>Кр</w:t>
      </w:r>
      <w:proofErr w:type="gramEnd"/>
      <w:r>
        <w:rPr>
          <w:rStyle w:val="FontStyle23"/>
          <w:lang w:val="uk-UA" w:eastAsia="uk-UA"/>
        </w:rPr>
        <w:t>ім того, немає відокремленого органу управління державним кредитом.</w:t>
      </w:r>
    </w:p>
    <w:p w:rsidR="00000000" w:rsidRDefault="00060502">
      <w:pPr>
        <w:pStyle w:val="Style11"/>
        <w:widowControl/>
        <w:ind w:firstLine="365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За формою прояву </w:t>
      </w:r>
      <w:r>
        <w:rPr>
          <w:rStyle w:val="FontStyle25"/>
          <w:lang w:val="uk-UA" w:eastAsia="uk-UA"/>
        </w:rPr>
        <w:t xml:space="preserve">державний кредит </w:t>
      </w:r>
      <w:r>
        <w:rPr>
          <w:rStyle w:val="FontStyle23"/>
          <w:lang w:val="uk-UA" w:eastAsia="uk-UA"/>
        </w:rPr>
        <w:t>поділяють на державні позики та г</w:t>
      </w:r>
      <w:r>
        <w:rPr>
          <w:rStyle w:val="FontStyle23"/>
          <w:lang w:val="uk-UA" w:eastAsia="uk-UA"/>
        </w:rPr>
        <w:t>арантії.</w:t>
      </w:r>
    </w:p>
    <w:p w:rsidR="00000000" w:rsidRDefault="00060502">
      <w:pPr>
        <w:pStyle w:val="Style11"/>
        <w:widowControl/>
        <w:ind w:firstLine="365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За юридично-правовим характером </w:t>
      </w:r>
      <w:r>
        <w:rPr>
          <w:rStyle w:val="FontStyle25"/>
          <w:lang w:val="uk-UA" w:eastAsia="uk-UA"/>
        </w:rPr>
        <w:t xml:space="preserve">державний кредит </w:t>
      </w:r>
      <w:r>
        <w:rPr>
          <w:rStyle w:val="FontStyle23"/>
          <w:lang w:val="uk-UA" w:eastAsia="uk-UA"/>
        </w:rPr>
        <w:t xml:space="preserve">можна визначити як сукупність певних фінансових правовідносин, передбачених нормативно-правовими актами, які складаються між кредитором та </w:t>
      </w:r>
      <w:proofErr w:type="spellStart"/>
      <w:r>
        <w:rPr>
          <w:rStyle w:val="FontStyle23"/>
          <w:lang w:val="uk-UA" w:eastAsia="uk-UA"/>
        </w:rPr>
        <w:t>кредитоотримувачсм</w:t>
      </w:r>
      <w:proofErr w:type="spellEnd"/>
      <w:r>
        <w:rPr>
          <w:rStyle w:val="FontStyle23"/>
          <w:lang w:val="uk-UA" w:eastAsia="uk-UA"/>
        </w:rPr>
        <w:t xml:space="preserve"> з приводу залучення додаткових грошових </w:t>
      </w:r>
      <w:r>
        <w:rPr>
          <w:rStyle w:val="FontStyle23"/>
          <w:lang w:val="uk-UA" w:eastAsia="uk-UA"/>
        </w:rPr>
        <w:t xml:space="preserve">ресурсів для покриття бюджетного дефіциту або для фінансування економічних і соціальних </w:t>
      </w:r>
      <w:r>
        <w:rPr>
          <w:rStyle w:val="FontStyle23"/>
          <w:lang w:val="uk-UA" w:eastAsia="uk-UA"/>
        </w:rPr>
        <w:lastRenderedPageBreak/>
        <w:t>програм на умовах строковості, зворотності та платності. Юридичною основою державних позик є договір або угода.</w:t>
      </w:r>
    </w:p>
    <w:p w:rsidR="00000000" w:rsidRDefault="00060502">
      <w:pPr>
        <w:pStyle w:val="Style11"/>
        <w:widowControl/>
        <w:ind w:firstLine="37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Об'єктивна необхідність здійснення державного кредиту об</w:t>
      </w:r>
      <w:r>
        <w:rPr>
          <w:rStyle w:val="FontStyle23"/>
          <w:lang w:val="uk-UA" w:eastAsia="uk-UA"/>
        </w:rPr>
        <w:t xml:space="preserve">умовлена постійною суперечністю між величиною потреб суспільства і можливостями держави щодо їх задоволення за рахунок бюджетних фондів. Виконання функцій державою потребує збільшення обсягів фінансування щороку. Проте доходів, які надходять до державного </w:t>
      </w:r>
      <w:r>
        <w:rPr>
          <w:rStyle w:val="FontStyle23"/>
          <w:lang w:val="uk-UA" w:eastAsia="uk-UA"/>
        </w:rPr>
        <w:t>бюджету, завжди недостатньо. Отже, за умов наявності вільних грошових ресурсів у населення, підприємств чи організацій органи влади вдаються до державного кредиту.</w:t>
      </w:r>
    </w:p>
    <w:p w:rsidR="00000000" w:rsidRDefault="00060502">
      <w:pPr>
        <w:pStyle w:val="Style11"/>
        <w:widowControl/>
        <w:ind w:firstLine="36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Державний кредит відіграє значну роль у прискоренні соціально-економічного розвитку країни, </w:t>
      </w:r>
      <w:r>
        <w:rPr>
          <w:rStyle w:val="FontStyle23"/>
          <w:lang w:val="uk-UA" w:eastAsia="uk-UA"/>
        </w:rPr>
        <w:t xml:space="preserve">оскільки в </w:t>
      </w:r>
      <w:r w:rsidR="004732DD">
        <w:rPr>
          <w:rStyle w:val="FontStyle23"/>
          <w:lang w:val="uk-UA" w:eastAsia="uk-UA"/>
        </w:rPr>
        <w:t>ін.</w:t>
      </w:r>
      <w:r>
        <w:rPr>
          <w:rStyle w:val="FontStyle23"/>
          <w:lang w:val="uk-UA" w:eastAsia="uk-UA"/>
        </w:rPr>
        <w:t xml:space="preserve"> є засобом мобілізації державою додаткових фінансових ресурсів. У разі наявності дефіциту бюджету кошти, що отримує країна, йдуть на його покриття. У випадку збалансованого бюджету чи його профіциту кошти, що надходять за допомогою державного </w:t>
      </w:r>
      <w:r>
        <w:rPr>
          <w:rStyle w:val="FontStyle23"/>
          <w:lang w:val="uk-UA" w:eastAsia="uk-UA"/>
        </w:rPr>
        <w:t>кредиту, спрямовуються для фінансування програм соціально-економічного характеру.</w:t>
      </w:r>
    </w:p>
    <w:p w:rsidR="00000000" w:rsidRPr="0028215D" w:rsidRDefault="00060502">
      <w:pPr>
        <w:pStyle w:val="Style16"/>
        <w:widowControl/>
        <w:spacing w:line="235" w:lineRule="exact"/>
        <w:ind w:left="25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Державний кредит як фінансова категорія виконує три функції: -</w:t>
      </w:r>
      <w:r w:rsidR="004732DD">
        <w:rPr>
          <w:rStyle w:val="FontStyle23"/>
          <w:lang w:val="uk-UA" w:eastAsia="uk-UA"/>
        </w:rPr>
        <w:t xml:space="preserve"> </w:t>
      </w:r>
      <w:r>
        <w:rPr>
          <w:rStyle w:val="FontStyle23"/>
          <w:lang w:val="uk-UA" w:eastAsia="uk-UA"/>
        </w:rPr>
        <w:t>розподільну (перерозподільну), —</w:t>
      </w:r>
      <w:r w:rsidR="004732DD">
        <w:rPr>
          <w:rStyle w:val="FontStyle23"/>
          <w:lang w:val="uk-UA" w:eastAsia="uk-UA"/>
        </w:rPr>
        <w:t xml:space="preserve"> </w:t>
      </w:r>
      <w:r>
        <w:rPr>
          <w:rStyle w:val="FontStyle23"/>
          <w:lang w:val="uk-UA" w:eastAsia="uk-UA"/>
        </w:rPr>
        <w:t>регулювальну; -</w:t>
      </w:r>
      <w:r w:rsidR="004732DD">
        <w:rPr>
          <w:rStyle w:val="FontStyle23"/>
          <w:lang w:val="uk-UA" w:eastAsia="uk-UA"/>
        </w:rPr>
        <w:t xml:space="preserve"> </w:t>
      </w:r>
      <w:r>
        <w:rPr>
          <w:rStyle w:val="FontStyle23"/>
          <w:lang w:val="uk-UA" w:eastAsia="uk-UA"/>
        </w:rPr>
        <w:t xml:space="preserve">контрольну </w:t>
      </w:r>
      <w:r w:rsidR="0028215D">
        <w:rPr>
          <w:rStyle w:val="FontStyle23"/>
          <w:lang w:val="uk-UA" w:eastAsia="uk-UA"/>
        </w:rPr>
        <w:t>(табл</w:t>
      </w:r>
      <w:r w:rsidRPr="0028215D">
        <w:rPr>
          <w:rStyle w:val="FontStyle23"/>
          <w:lang w:val="uk-UA" w:eastAsia="uk-UA"/>
        </w:rPr>
        <w:t>.1).</w:t>
      </w:r>
    </w:p>
    <w:p w:rsidR="00000000" w:rsidRPr="0028215D" w:rsidRDefault="00060502">
      <w:pPr>
        <w:pStyle w:val="Style5"/>
        <w:widowControl/>
        <w:spacing w:before="43"/>
        <w:jc w:val="righ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Таблиця </w:t>
      </w:r>
      <w:r w:rsidRPr="0028215D">
        <w:rPr>
          <w:rStyle w:val="FontStyle22"/>
          <w:lang w:val="uk-UA" w:eastAsia="uk-UA"/>
        </w:rPr>
        <w:t>1.</w:t>
      </w:r>
    </w:p>
    <w:p w:rsidR="00000000" w:rsidRDefault="00060502">
      <w:pPr>
        <w:pStyle w:val="Style2"/>
        <w:widowControl/>
        <w:spacing w:before="24"/>
        <w:ind w:left="2021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Функції державного кредиту</w:t>
      </w:r>
    </w:p>
    <w:p w:rsidR="00000000" w:rsidRPr="0028215D" w:rsidRDefault="00060502">
      <w:pPr>
        <w:widowControl/>
        <w:spacing w:after="110" w:line="1" w:lineRule="exact"/>
        <w:rPr>
          <w:sz w:val="2"/>
          <w:szCs w:val="2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46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502">
            <w:pPr>
              <w:pStyle w:val="Style4"/>
              <w:widowControl/>
              <w:jc w:val="left"/>
              <w:rPr>
                <w:rStyle w:val="FontStyle23"/>
                <w:lang w:val="uk-UA" w:eastAsia="uk-UA"/>
              </w:rPr>
            </w:pPr>
            <w:r>
              <w:rPr>
                <w:rStyle w:val="FontStyle23"/>
                <w:lang w:val="uk-UA" w:eastAsia="uk-UA"/>
              </w:rPr>
              <w:t>Розподільна</w:t>
            </w:r>
          </w:p>
          <w:p w:rsidR="00000000" w:rsidRDefault="00060502">
            <w:pPr>
              <w:pStyle w:val="Style4"/>
              <w:widowControl/>
              <w:jc w:val="left"/>
              <w:rPr>
                <w:rStyle w:val="FontStyle23"/>
                <w:lang w:val="uk-UA" w:eastAsia="uk-UA"/>
              </w:rPr>
            </w:pPr>
            <w:r>
              <w:rPr>
                <w:rStyle w:val="FontStyle23"/>
                <w:lang w:val="uk-UA" w:eastAsia="uk-UA"/>
              </w:rPr>
              <w:t>(перерозподільна)</w:t>
            </w:r>
          </w:p>
          <w:p w:rsidR="00000000" w:rsidRDefault="00060502">
            <w:pPr>
              <w:pStyle w:val="Style4"/>
              <w:widowControl/>
              <w:jc w:val="left"/>
              <w:rPr>
                <w:rStyle w:val="FontStyle23"/>
                <w:lang w:val="uk-UA" w:eastAsia="uk-UA"/>
              </w:rPr>
            </w:pPr>
            <w:r>
              <w:rPr>
                <w:rStyle w:val="FontStyle23"/>
                <w:lang w:val="uk-UA" w:eastAsia="uk-UA"/>
              </w:rPr>
              <w:t>функція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502">
            <w:pPr>
              <w:pStyle w:val="Style4"/>
              <w:widowControl/>
              <w:rPr>
                <w:rStyle w:val="FontStyle23"/>
                <w:lang w:val="uk-UA" w:eastAsia="uk-UA"/>
              </w:rPr>
            </w:pPr>
            <w:r>
              <w:rPr>
                <w:rStyle w:val="FontStyle23"/>
                <w:lang w:val="uk-UA" w:eastAsia="uk-UA"/>
              </w:rPr>
              <w:t>передбачає формування централізованих грошових фондів держави та їх використання на принципах строковості, платності і повернення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502">
            <w:pPr>
              <w:pStyle w:val="Style4"/>
              <w:widowControl/>
              <w:ind w:left="5" w:hanging="5"/>
              <w:jc w:val="left"/>
              <w:rPr>
                <w:rStyle w:val="FontStyle23"/>
                <w:lang w:val="uk-UA" w:eastAsia="uk-UA"/>
              </w:rPr>
            </w:pPr>
            <w:r>
              <w:rPr>
                <w:rStyle w:val="FontStyle23"/>
                <w:lang w:val="uk-UA" w:eastAsia="uk-UA"/>
              </w:rPr>
              <w:t>Регулювальна функція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502">
            <w:pPr>
              <w:pStyle w:val="Style4"/>
              <w:widowControl/>
              <w:rPr>
                <w:rStyle w:val="FontStyle23"/>
                <w:lang w:val="uk-UA" w:eastAsia="uk-UA"/>
              </w:rPr>
            </w:pPr>
            <w:r>
              <w:rPr>
                <w:rStyle w:val="FontStyle23"/>
                <w:lang w:val="uk-UA" w:eastAsia="uk-UA"/>
              </w:rPr>
              <w:t xml:space="preserve">здійснює вплив на соціально-економічні процеси, що відбуваються в </w:t>
            </w:r>
            <w:r>
              <w:rPr>
                <w:rStyle w:val="FontStyle23"/>
                <w:lang w:val="uk-UA" w:eastAsia="uk-UA"/>
              </w:rPr>
              <w:t>суспільстві (стан грошового обігу, рівень процентних ставок на ринку грошей і капіталів, на виробництво і зайнятість)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502">
            <w:pPr>
              <w:pStyle w:val="Style4"/>
              <w:widowControl/>
              <w:jc w:val="left"/>
              <w:rPr>
                <w:rStyle w:val="FontStyle23"/>
                <w:lang w:val="uk-UA" w:eastAsia="uk-UA"/>
              </w:rPr>
            </w:pPr>
            <w:r>
              <w:rPr>
                <w:rStyle w:val="FontStyle23"/>
                <w:lang w:val="uk-UA" w:eastAsia="uk-UA"/>
              </w:rPr>
              <w:t>Контрольна функція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0502">
            <w:pPr>
              <w:pStyle w:val="Style4"/>
              <w:widowControl/>
              <w:rPr>
                <w:rStyle w:val="FontStyle23"/>
                <w:lang w:val="uk-UA" w:eastAsia="uk-UA"/>
              </w:rPr>
            </w:pPr>
            <w:r>
              <w:rPr>
                <w:rStyle w:val="FontStyle23"/>
                <w:lang w:val="uk-UA" w:eastAsia="uk-UA"/>
              </w:rPr>
              <w:t>проявляється у здійсненні контролю за повнотою отримання фінансових ресурсів, їх цільовим використання, терміном повер</w:t>
            </w:r>
            <w:r>
              <w:rPr>
                <w:rStyle w:val="FontStyle23"/>
                <w:lang w:val="uk-UA" w:eastAsia="uk-UA"/>
              </w:rPr>
              <w:t>нення і своєчасністю сплати відсотків</w:t>
            </w:r>
          </w:p>
        </w:tc>
      </w:tr>
    </w:tbl>
    <w:p w:rsidR="00000000" w:rsidRPr="0028215D" w:rsidRDefault="00060502">
      <w:pPr>
        <w:pStyle w:val="Style12"/>
        <w:widowControl/>
        <w:spacing w:line="240" w:lineRule="exact"/>
        <w:jc w:val="center"/>
        <w:rPr>
          <w:sz w:val="20"/>
          <w:szCs w:val="20"/>
          <w:lang w:val="uk-UA"/>
        </w:rPr>
      </w:pPr>
    </w:p>
    <w:p w:rsidR="00000000" w:rsidRPr="0028215D" w:rsidRDefault="00060502" w:rsidP="004F5D4F">
      <w:pPr>
        <w:pStyle w:val="Style12"/>
        <w:widowControl/>
        <w:spacing w:before="14"/>
        <w:ind w:left="284"/>
        <w:rPr>
          <w:rStyle w:val="FontStyle23"/>
          <w:b/>
          <w:lang w:val="uk-UA"/>
        </w:rPr>
      </w:pPr>
      <w:r w:rsidRPr="0028215D">
        <w:rPr>
          <w:rStyle w:val="FontStyle23"/>
          <w:b/>
        </w:rPr>
        <w:t xml:space="preserve">2. </w:t>
      </w:r>
      <w:r w:rsidRPr="0028215D">
        <w:rPr>
          <w:rStyle w:val="FontStyle23"/>
          <w:b/>
          <w:lang w:val="uk-UA"/>
        </w:rPr>
        <w:t>ФОРМИ І ВИДИ ДЕРЖАВНОГО КРЕДИТУ</w:t>
      </w:r>
    </w:p>
    <w:p w:rsidR="00000000" w:rsidRDefault="00060502">
      <w:pPr>
        <w:pStyle w:val="Style11"/>
        <w:widowControl/>
        <w:spacing w:before="240"/>
        <w:ind w:firstLine="355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Державний кредит може бути у двох формах: ощадна справа та державні позики.</w:t>
      </w:r>
    </w:p>
    <w:p w:rsidR="00000000" w:rsidRDefault="00060502">
      <w:pPr>
        <w:pStyle w:val="Style19"/>
        <w:widowControl/>
        <w:spacing w:line="235" w:lineRule="exact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Ощадна справа </w:t>
      </w:r>
      <w:r>
        <w:rPr>
          <w:rStyle w:val="FontStyle23"/>
          <w:lang w:val="uk-UA" w:eastAsia="uk-UA"/>
        </w:rPr>
        <w:t>належить до державного кредиту за умов</w:t>
      </w:r>
      <w:r>
        <w:rPr>
          <w:rStyle w:val="FontStyle23"/>
          <w:lang w:eastAsia="uk-UA"/>
        </w:rPr>
        <w:t xml:space="preserve">, </w:t>
      </w:r>
      <w:r>
        <w:rPr>
          <w:rStyle w:val="FontStyle23"/>
          <w:lang w:val="uk-UA" w:eastAsia="uk-UA"/>
        </w:rPr>
        <w:t>якщо залучені кошти спрямовуються в доходи бюджет</w:t>
      </w:r>
      <w:r>
        <w:rPr>
          <w:rStyle w:val="FontStyle23"/>
          <w:lang w:val="uk-UA" w:eastAsia="uk-UA"/>
        </w:rPr>
        <w:t>у. У даному випадку ощадні установи є посередником між державою та населенням в питаннях надання позик державі за рахунок позикових коштів без відома їх реального власника (населення).</w:t>
      </w:r>
    </w:p>
    <w:p w:rsidR="00000000" w:rsidRDefault="00060502">
      <w:pPr>
        <w:pStyle w:val="Style11"/>
        <w:widowControl/>
        <w:ind w:left="331" w:firstLine="0"/>
        <w:jc w:val="left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Державні позики </w:t>
      </w:r>
      <w:r>
        <w:rPr>
          <w:rStyle w:val="FontStyle23"/>
          <w:lang w:val="uk-UA" w:eastAsia="uk-UA"/>
        </w:rPr>
        <w:t>є основною формою державного кредиту.</w:t>
      </w:r>
    </w:p>
    <w:p w:rsidR="00000000" w:rsidRDefault="005C0F4C">
      <w:pPr>
        <w:pStyle w:val="Style11"/>
        <w:widowControl/>
        <w:ind w:left="355" w:firstLine="0"/>
        <w:jc w:val="left"/>
        <w:rPr>
          <w:rStyle w:val="FontStyle23"/>
          <w:lang w:eastAsia="uk-U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121920</wp:posOffset>
                </wp:positionV>
                <wp:extent cx="4008120" cy="2350770"/>
                <wp:effectExtent l="0" t="0" r="11430" b="11430"/>
                <wp:wrapTight wrapText="bothSides">
                  <wp:wrapPolygon edited="0">
                    <wp:start x="17658" y="0"/>
                    <wp:lineTo x="10882" y="2801"/>
                    <wp:lineTo x="0" y="3676"/>
                    <wp:lineTo x="0" y="21530"/>
                    <wp:lineTo x="21559" y="21530"/>
                    <wp:lineTo x="21559" y="3676"/>
                    <wp:lineTo x="10779" y="2801"/>
                    <wp:lineTo x="17247" y="2801"/>
                    <wp:lineTo x="21559" y="1750"/>
                    <wp:lineTo x="21559" y="0"/>
                    <wp:lineTo x="17658" y="0"/>
                  </wp:wrapPolygon>
                </wp:wrapTight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8120" cy="2350770"/>
                          <a:chOff x="634" y="7022"/>
                          <a:chExt cx="6312" cy="3245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7593"/>
                            <a:ext cx="6312" cy="267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96"/>
                                <w:gridCol w:w="1483"/>
                                <w:gridCol w:w="353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1"/>
                                      <w:widowControl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Критерії класифі</w:t>
                                    </w: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кації</w:t>
                                    </w:r>
                                  </w:p>
                                </w:tc>
                                <w:tc>
                                  <w:tcPr>
                                    <w:tcW w:w="148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1"/>
                                      <w:widowControl/>
                                      <w:spacing w:line="240" w:lineRule="auto"/>
                                      <w:ind w:left="480"/>
                                      <w:jc w:val="left"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Вид</w:t>
                                    </w:r>
                                  </w:p>
                                </w:tc>
                                <w:tc>
                                  <w:tcPr>
                                    <w:tcW w:w="3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1"/>
                                      <w:widowControl/>
                                      <w:spacing w:line="240" w:lineRule="auto"/>
                                      <w:ind w:left="979"/>
                                      <w:jc w:val="left"/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  <w:lang w:val="uk-UA" w:eastAsia="uk-UA"/>
                                      </w:rPr>
                                      <w:t>Характеристика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за правовим оформленням</w:t>
                                    </w:r>
                                  </w:p>
                                </w:tc>
                                <w:tc>
                                  <w:tcPr>
                                    <w:tcW w:w="148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облігаційні</w:t>
                                    </w:r>
                                  </w:p>
                                </w:tc>
                                <w:tc>
                                  <w:tcPr>
                                    <w:tcW w:w="3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забезпечені випуском цінних паперів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widowControl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</w:p>
                                  <w:p w:rsidR="00000000" w:rsidRDefault="00060502">
                                    <w:pPr>
                                      <w:widowControl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безоблігаційні</w:t>
                                    </w:r>
                                  </w:p>
                                </w:tc>
                                <w:tc>
                                  <w:tcPr>
                                    <w:tcW w:w="3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spacing w:line="211" w:lineRule="exact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оформляються підписними зобов'язаннями або надаються на підставі договору або угоди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3"/>
                                      <w:widowControl/>
                                      <w:spacing w:line="211" w:lineRule="exact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за формою випуску</w:t>
                                    </w:r>
                                  </w:p>
                                </w:tc>
                                <w:tc>
                                  <w:tcPr>
                                    <w:tcW w:w="148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готівкові</w:t>
                                    </w:r>
                                  </w:p>
                                </w:tc>
                                <w:tc>
                                  <w:tcPr>
                                    <w:tcW w:w="3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spacing w:line="211" w:lineRule="exact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супроводжуються емісією дер</w:t>
                                    </w: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жавних цінних паперів зі всіма ступенями захисту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29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widowControl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</w:p>
                                  <w:p w:rsidR="00000000" w:rsidRDefault="00060502">
                                    <w:pPr>
                                      <w:widowControl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8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безготівкові</w:t>
                                    </w:r>
                                  </w:p>
                                </w:tc>
                                <w:tc>
                                  <w:tcPr>
                                    <w:tcW w:w="3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ind w:left="5" w:hanging="5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у вигляді запису на відповідному носії у комп'ютерної пам'яті в електронному депозитарії</w:t>
                                    </w:r>
                                  </w:p>
                                </w:tc>
                              </w:tr>
                              <w:tr w:rsidR="00000000" w:rsidTr="004732DD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443"/>
                                </w:trPr>
                                <w:tc>
                                  <w:tcPr>
                                    <w:tcW w:w="12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за правом емісії</w:t>
                                    </w:r>
                                  </w:p>
                                </w:tc>
                                <w:tc>
                                  <w:tcPr>
                                    <w:tcW w:w="148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державні</w:t>
                                    </w:r>
                                  </w:p>
                                </w:tc>
                                <w:tc>
                                  <w:tcPr>
                                    <w:tcW w:w="353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060502">
                                    <w:pPr>
                                      <w:pStyle w:val="Style4"/>
                                      <w:widowControl/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  <w:lang w:val="uk-UA" w:eastAsia="uk-UA"/>
                                      </w:rPr>
                                      <w:t>випускаються центральними органами влади й управління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66" y="7022"/>
                            <a:ext cx="1032" cy="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060502">
                              <w:pPr>
                                <w:pStyle w:val="Style14"/>
                                <w:widowControl/>
                                <w:spacing w:line="235" w:lineRule="exact"/>
                                <w:jc w:val="right"/>
                                <w:rPr>
                                  <w:rStyle w:val="FontStyle22"/>
                                  <w:lang w:eastAsia="uk-UA"/>
                                </w:rPr>
                              </w:pPr>
                              <w:r>
                                <w:rPr>
                                  <w:rStyle w:val="FontStyle22"/>
                                  <w:lang w:val="uk-UA" w:eastAsia="uk-UA"/>
                                </w:rPr>
                                <w:t xml:space="preserve">Таблиця </w:t>
                              </w:r>
                              <w:r>
                                <w:rPr>
                                  <w:rStyle w:val="FontStyle22"/>
                                  <w:lang w:eastAsia="uk-UA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.05pt;margin-top:9.6pt;width:315.6pt;height:185.1pt;z-index:251658240;mso-wrap-distance-left:1.9pt;mso-wrap-distance-right:1.9pt;mso-position-horizontal-relative:margin" coordorigin="634,7022" coordsize="6312,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34;top:7593;width:6312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96"/>
                          <w:gridCol w:w="1483"/>
                          <w:gridCol w:w="3533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1"/>
                                <w:widowControl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Критерії класифі</w:t>
                              </w: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кації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1"/>
                                <w:widowControl/>
                                <w:spacing w:line="240" w:lineRule="auto"/>
                                <w:ind w:left="480"/>
                                <w:jc w:val="left"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Вид</w:t>
                              </w:r>
                            </w:p>
                          </w:tc>
                          <w:tc>
                            <w:tcPr>
                              <w:tcW w:w="3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1"/>
                                <w:widowControl/>
                                <w:spacing w:line="240" w:lineRule="auto"/>
                                <w:ind w:left="979"/>
                                <w:jc w:val="left"/>
                                <w:rPr>
                                  <w:rStyle w:val="FontStyle24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4"/>
                                  <w:lang w:val="uk-UA" w:eastAsia="uk-UA"/>
                                </w:rPr>
                                <w:t>Характеристика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9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3"/>
                                <w:widowControl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за правовим оформленням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облігаційні</w:t>
                              </w:r>
                            </w:p>
                          </w:tc>
                          <w:tc>
                            <w:tcPr>
                              <w:tcW w:w="3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забезпечені випуском цінних паперів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9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widowControl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</w:p>
                            <w:p w:rsidR="00000000" w:rsidRDefault="00060502">
                              <w:pPr>
                                <w:widowControl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безоблігаційні</w:t>
                              </w:r>
                            </w:p>
                          </w:tc>
                          <w:tc>
                            <w:tcPr>
                              <w:tcW w:w="3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spacing w:line="211" w:lineRule="exact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оформляються підписними зобов'язаннями або надаються на підставі договору або угоди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9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3"/>
                                <w:widowControl/>
                                <w:spacing w:line="211" w:lineRule="exact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за формою випуску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готівкові</w:t>
                              </w:r>
                            </w:p>
                          </w:tc>
                          <w:tc>
                            <w:tcPr>
                              <w:tcW w:w="3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spacing w:line="211" w:lineRule="exact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супроводжуються емісією дер</w:t>
                              </w: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жавних цінних паперів зі всіма ступенями захисту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29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widowControl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</w:p>
                            <w:p w:rsidR="00000000" w:rsidRDefault="00060502">
                              <w:pPr>
                                <w:widowControl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безготівкові</w:t>
                              </w:r>
                            </w:p>
                          </w:tc>
                          <w:tc>
                            <w:tcPr>
                              <w:tcW w:w="3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ind w:left="5" w:hanging="5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у вигляді запису на відповідному носії у комп'ютерної пам'яті в електронному депозитарії</w:t>
                              </w:r>
                            </w:p>
                          </w:tc>
                        </w:tr>
                        <w:tr w:rsidR="00000000" w:rsidTr="004732DD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43"/>
                          </w:trPr>
                          <w:tc>
                            <w:tcPr>
                              <w:tcW w:w="12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3"/>
                                <w:widowControl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за правом емісії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державні</w:t>
                              </w:r>
                            </w:p>
                          </w:tc>
                          <w:tc>
                            <w:tcPr>
                              <w:tcW w:w="353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060502">
                              <w:pPr>
                                <w:pStyle w:val="Style4"/>
                                <w:widowControl/>
                                <w:rPr>
                                  <w:rStyle w:val="FontStyle2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3"/>
                                  <w:lang w:val="uk-UA" w:eastAsia="uk-UA"/>
                                </w:rPr>
                                <w:t>випускаються центральними органами влади й управління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5866;top:7022;width:103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060502">
                        <w:pPr>
                          <w:pStyle w:val="Style14"/>
                          <w:widowControl/>
                          <w:spacing w:line="235" w:lineRule="exact"/>
                          <w:jc w:val="right"/>
                          <w:rPr>
                            <w:rStyle w:val="FontStyle22"/>
                            <w:lang w:eastAsia="uk-UA"/>
                          </w:rPr>
                        </w:pPr>
                        <w:r>
                          <w:rPr>
                            <w:rStyle w:val="FontStyle22"/>
                            <w:lang w:val="uk-UA" w:eastAsia="uk-UA"/>
                          </w:rPr>
                          <w:t xml:space="preserve">Таблиця </w:t>
                        </w:r>
                        <w:r>
                          <w:rPr>
                            <w:rStyle w:val="FontStyle22"/>
                            <w:lang w:eastAsia="uk-UA"/>
                          </w:rPr>
                          <w:t>2.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060502">
        <w:rPr>
          <w:rStyle w:val="FontStyle23"/>
          <w:lang w:val="uk-UA" w:eastAsia="uk-UA"/>
        </w:rPr>
        <w:t>Кла</w:t>
      </w:r>
      <w:r w:rsidR="00060502">
        <w:rPr>
          <w:rStyle w:val="FontStyle23"/>
          <w:lang w:val="uk-UA" w:eastAsia="uk-UA"/>
        </w:rPr>
        <w:t xml:space="preserve">сифікацію державного кредиту подано в </w:t>
      </w:r>
      <w:r w:rsidR="00060502">
        <w:rPr>
          <w:rStyle w:val="FontStyle23"/>
          <w:lang w:eastAsia="uk-UA"/>
        </w:rPr>
        <w:t xml:space="preserve">табл. </w:t>
      </w:r>
      <w:r w:rsidR="00060502">
        <w:rPr>
          <w:rStyle w:val="FontStyle23"/>
          <w:lang w:eastAsia="uk-UA"/>
        </w:rPr>
        <w:t>2.</w:t>
      </w:r>
    </w:p>
    <w:p w:rsidR="00000000" w:rsidRDefault="00060502">
      <w:pPr>
        <w:widowControl/>
        <w:spacing w:line="1" w:lineRule="exact"/>
        <w:rPr>
          <w:sz w:val="2"/>
          <w:szCs w:val="2"/>
        </w:rPr>
      </w:pPr>
    </w:p>
    <w:p w:rsidR="00000000" w:rsidRDefault="00060502">
      <w:pPr>
        <w:pStyle w:val="Style14"/>
        <w:widowControl/>
        <w:spacing w:before="235" w:line="235" w:lineRule="exact"/>
        <w:ind w:left="1762"/>
        <w:rPr>
          <w:rStyle w:val="FontStyle22"/>
          <w:lang w:val="uk-UA" w:eastAsia="uk-UA"/>
        </w:rPr>
        <w:sectPr w:rsidR="00000000">
          <w:pgSz w:w="8390" w:h="11905"/>
          <w:pgMar w:top="1137" w:right="614" w:bottom="634" w:left="1334" w:header="720" w:footer="720" w:gutter="0"/>
          <w:cols w:space="720"/>
          <w:noEndnote/>
        </w:sectPr>
      </w:pPr>
    </w:p>
    <w:p w:rsidR="004732DD" w:rsidRDefault="004732DD">
      <w:pPr>
        <w:pStyle w:val="Style11"/>
        <w:widowControl/>
        <w:spacing w:before="130"/>
        <w:ind w:firstLine="106"/>
        <w:jc w:val="left"/>
        <w:rPr>
          <w:rStyle w:val="FontStyle22"/>
          <w:lang w:val="uk-UA" w:eastAsia="uk-UA"/>
        </w:rPr>
      </w:pPr>
    </w:p>
    <w:p w:rsidR="004732DD" w:rsidRDefault="004732DD">
      <w:pPr>
        <w:pStyle w:val="Style11"/>
        <w:widowControl/>
        <w:spacing w:before="130"/>
        <w:ind w:firstLine="106"/>
        <w:jc w:val="left"/>
        <w:rPr>
          <w:rStyle w:val="FontStyle22"/>
          <w:lang w:val="uk-UA" w:eastAsia="uk-UA"/>
        </w:rPr>
      </w:pPr>
    </w:p>
    <w:p w:rsidR="00395FE4" w:rsidRDefault="00060502">
      <w:pPr>
        <w:pStyle w:val="Style11"/>
        <w:widowControl/>
        <w:spacing w:before="130"/>
        <w:ind w:firstLine="106"/>
        <w:jc w:val="left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Джерелами погашення державних позик </w:t>
      </w:r>
      <w:r w:rsidR="00395FE4">
        <w:rPr>
          <w:rStyle w:val="FontStyle23"/>
          <w:lang w:val="uk-UA" w:eastAsia="uk-UA"/>
        </w:rPr>
        <w:t xml:space="preserve">можуть виступати:  </w:t>
      </w:r>
    </w:p>
    <w:p w:rsidR="00000000" w:rsidRDefault="00060502" w:rsidP="00395FE4">
      <w:pPr>
        <w:pStyle w:val="Style11"/>
        <w:widowControl/>
        <w:numPr>
          <w:ilvl w:val="0"/>
          <w:numId w:val="3"/>
        </w:numPr>
        <w:spacing w:before="130"/>
        <w:ind w:firstLine="0"/>
        <w:jc w:val="left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доходи від інвестування позикових коштів у високоефективні проекти;</w:t>
      </w:r>
    </w:p>
    <w:p w:rsidR="00000000" w:rsidRDefault="00060502" w:rsidP="00395FE4">
      <w:pPr>
        <w:pStyle w:val="Style12"/>
        <w:widowControl/>
        <w:numPr>
          <w:ilvl w:val="0"/>
          <w:numId w:val="3"/>
        </w:numPr>
        <w:spacing w:line="235" w:lineRule="exact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доходи, от</w:t>
      </w:r>
      <w:r>
        <w:rPr>
          <w:rStyle w:val="FontStyle23"/>
          <w:lang w:val="uk-UA" w:eastAsia="uk-UA"/>
        </w:rPr>
        <w:t>римані від збільшення податкових ставок;</w:t>
      </w:r>
    </w:p>
    <w:p w:rsidR="00000000" w:rsidRDefault="00060502" w:rsidP="0028215D">
      <w:pPr>
        <w:pStyle w:val="Style10"/>
        <w:widowControl/>
        <w:numPr>
          <w:ilvl w:val="0"/>
          <w:numId w:val="3"/>
        </w:numPr>
        <w:tabs>
          <w:tab w:val="left" w:pos="216"/>
        </w:tabs>
        <w:spacing w:before="5" w:line="235" w:lineRule="exact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економія коштів від скорочення видатків;</w:t>
      </w:r>
    </w:p>
    <w:p w:rsidR="00000000" w:rsidRDefault="00060502" w:rsidP="0028215D">
      <w:pPr>
        <w:pStyle w:val="Style10"/>
        <w:widowControl/>
        <w:numPr>
          <w:ilvl w:val="0"/>
          <w:numId w:val="3"/>
        </w:numPr>
        <w:tabs>
          <w:tab w:val="left" w:pos="216"/>
        </w:tabs>
        <w:spacing w:line="235" w:lineRule="exact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емісія грошей;</w:t>
      </w:r>
    </w:p>
    <w:p w:rsidR="00000000" w:rsidRDefault="00060502" w:rsidP="0028215D">
      <w:pPr>
        <w:pStyle w:val="Style10"/>
        <w:widowControl/>
        <w:numPr>
          <w:ilvl w:val="0"/>
          <w:numId w:val="3"/>
        </w:numPr>
        <w:tabs>
          <w:tab w:val="left" w:pos="216"/>
        </w:tabs>
        <w:spacing w:line="235" w:lineRule="exact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залучення коштів від нових позик (рефінансування боргу).</w:t>
      </w:r>
    </w:p>
    <w:p w:rsidR="00000000" w:rsidRDefault="00060502">
      <w:pPr>
        <w:pStyle w:val="Style8"/>
        <w:widowControl/>
        <w:spacing w:line="240" w:lineRule="exact"/>
        <w:ind w:left="1954"/>
        <w:rPr>
          <w:sz w:val="20"/>
          <w:szCs w:val="20"/>
        </w:rPr>
      </w:pPr>
    </w:p>
    <w:p w:rsidR="00000000" w:rsidRDefault="00395FE4" w:rsidP="00395FE4">
      <w:pPr>
        <w:pStyle w:val="Style8"/>
        <w:widowControl/>
        <w:spacing w:before="120"/>
        <w:ind w:left="1954" w:hanging="1670"/>
        <w:rPr>
          <w:rStyle w:val="FontStyle23"/>
          <w:lang w:val="uk-UA" w:eastAsia="uk-UA"/>
        </w:rPr>
      </w:pPr>
      <w:bookmarkStart w:id="0" w:name="_GoBack"/>
      <w:bookmarkEnd w:id="0"/>
      <w:r>
        <w:rPr>
          <w:rStyle w:val="FontStyle23"/>
          <w:b/>
          <w:lang w:val="uk-UA" w:eastAsia="uk-UA"/>
        </w:rPr>
        <w:t xml:space="preserve"> </w:t>
      </w:r>
      <w:r w:rsidR="00060502" w:rsidRPr="00395FE4">
        <w:rPr>
          <w:rStyle w:val="FontStyle23"/>
          <w:b/>
          <w:lang w:val="uk-UA" w:eastAsia="uk-UA"/>
        </w:rPr>
        <w:t>3.</w:t>
      </w:r>
      <w:r w:rsidR="00060502">
        <w:rPr>
          <w:rStyle w:val="FontStyle23"/>
          <w:lang w:val="uk-UA" w:eastAsia="uk-UA"/>
        </w:rPr>
        <w:t xml:space="preserve"> </w:t>
      </w:r>
      <w:r w:rsidR="00060502" w:rsidRPr="00395FE4">
        <w:rPr>
          <w:rStyle w:val="FontStyle23"/>
          <w:b/>
          <w:lang w:val="uk-UA" w:eastAsia="uk-UA"/>
        </w:rPr>
        <w:t>ПОНЯТТЯ ДЕРЖАВНОГО БОРГУ ТА ЙОГО КЛАСИФІКАЦІЯ</w:t>
      </w:r>
    </w:p>
    <w:p w:rsidR="00000000" w:rsidRDefault="00060502">
      <w:pPr>
        <w:pStyle w:val="Style11"/>
        <w:widowControl/>
        <w:spacing w:before="235"/>
        <w:ind w:firstLine="341"/>
        <w:rPr>
          <w:rStyle w:val="FontStyle23"/>
          <w:lang w:val="uk-UA" w:eastAsia="uk-UA"/>
        </w:rPr>
      </w:pPr>
      <w:r>
        <w:rPr>
          <w:rStyle w:val="FontStyle25"/>
          <w:lang w:val="uk-UA" w:eastAsia="uk-UA"/>
        </w:rPr>
        <w:t xml:space="preserve">Державний борг </w:t>
      </w:r>
      <w:r>
        <w:rPr>
          <w:rStyle w:val="FontStyle23"/>
          <w:lang w:val="uk-UA" w:eastAsia="uk-UA"/>
        </w:rPr>
        <w:t>- загальна сума боргови</w:t>
      </w:r>
      <w:r>
        <w:rPr>
          <w:rStyle w:val="FontStyle23"/>
          <w:lang w:val="uk-UA" w:eastAsia="uk-UA"/>
        </w:rPr>
        <w:t>х зобов'язань держави з повернення отриманих та непогашених кредитів (позик) станом на звітну дату, що виникають внаслідок державного запозичення.</w:t>
      </w:r>
    </w:p>
    <w:p w:rsidR="00000000" w:rsidRDefault="00060502">
      <w:pPr>
        <w:pStyle w:val="Style11"/>
        <w:widowControl/>
        <w:rPr>
          <w:rStyle w:val="FontStyle22"/>
          <w:lang w:val="uk-UA" w:eastAsia="uk-UA"/>
        </w:rPr>
      </w:pPr>
      <w:r>
        <w:rPr>
          <w:rStyle w:val="FontStyle23"/>
          <w:lang w:val="uk-UA" w:eastAsia="uk-UA"/>
        </w:rPr>
        <w:t xml:space="preserve">Відповідно до Бюджетного кодексу України державний борг класифікується </w:t>
      </w:r>
      <w:r>
        <w:rPr>
          <w:rStyle w:val="FontStyle22"/>
          <w:lang w:val="uk-UA" w:eastAsia="uk-UA"/>
        </w:rPr>
        <w:t xml:space="preserve">за типом кредитора </w:t>
      </w:r>
      <w:r>
        <w:rPr>
          <w:rStyle w:val="FontStyle23"/>
          <w:lang w:val="uk-UA" w:eastAsia="uk-UA"/>
        </w:rPr>
        <w:t xml:space="preserve">та </w:t>
      </w:r>
      <w:r>
        <w:rPr>
          <w:rStyle w:val="FontStyle22"/>
          <w:lang w:val="uk-UA" w:eastAsia="uk-UA"/>
        </w:rPr>
        <w:t>за типом боргово</w:t>
      </w:r>
      <w:r>
        <w:rPr>
          <w:rStyle w:val="FontStyle22"/>
          <w:lang w:val="uk-UA" w:eastAsia="uk-UA"/>
        </w:rPr>
        <w:t>го зобов'язання.</w:t>
      </w:r>
    </w:p>
    <w:p w:rsidR="00000000" w:rsidRDefault="00060502">
      <w:pPr>
        <w:pStyle w:val="Style11"/>
        <w:widowControl/>
        <w:ind w:firstLine="355"/>
        <w:rPr>
          <w:rStyle w:val="FontStyle22"/>
          <w:lang w:val="uk-UA" w:eastAsia="uk-UA"/>
        </w:rPr>
      </w:pPr>
      <w:r>
        <w:rPr>
          <w:rStyle w:val="FontStyle23"/>
          <w:lang w:val="uk-UA" w:eastAsia="uk-UA"/>
        </w:rPr>
        <w:t xml:space="preserve">У фінансовій та статистичній звітності України державний борг поділяється на </w:t>
      </w:r>
      <w:r>
        <w:rPr>
          <w:rStyle w:val="FontStyle22"/>
          <w:lang w:val="uk-UA" w:eastAsia="uk-UA"/>
        </w:rPr>
        <w:t xml:space="preserve">державний прямий (безумовний) </w:t>
      </w:r>
      <w:r>
        <w:rPr>
          <w:rStyle w:val="FontStyle23"/>
          <w:lang w:val="uk-UA" w:eastAsia="uk-UA"/>
        </w:rPr>
        <w:t xml:space="preserve">та </w:t>
      </w:r>
      <w:r>
        <w:rPr>
          <w:rStyle w:val="FontStyle22"/>
          <w:lang w:val="uk-UA" w:eastAsia="uk-UA"/>
        </w:rPr>
        <w:t>державний гарантований (умовний).</w:t>
      </w:r>
    </w:p>
    <w:p w:rsidR="00000000" w:rsidRDefault="00060502">
      <w:pPr>
        <w:pStyle w:val="Style11"/>
        <w:widowControl/>
        <w:ind w:firstLine="331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Державний (безумовний) борг - </w:t>
      </w:r>
      <w:r>
        <w:rPr>
          <w:rStyle w:val="FontStyle23"/>
          <w:lang w:val="uk-UA" w:eastAsia="uk-UA"/>
        </w:rPr>
        <w:t>борг класичного типу - офіційно визнаний борг, оформлений кредитн</w:t>
      </w:r>
      <w:r>
        <w:rPr>
          <w:rStyle w:val="FontStyle23"/>
          <w:lang w:val="uk-UA" w:eastAsia="uk-UA"/>
        </w:rPr>
        <w:t>ими угодами або державними Цінними паперами, що передбачає погашення основної суми боргу та виплату відсотків у чітко визначені строки.</w:t>
      </w:r>
    </w:p>
    <w:p w:rsidR="00000000" w:rsidRDefault="00060502">
      <w:pPr>
        <w:pStyle w:val="Style11"/>
        <w:widowControl/>
        <w:ind w:firstLine="350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Гарантований (умовний) борг </w:t>
      </w:r>
      <w:r>
        <w:rPr>
          <w:rStyle w:val="FontStyle23"/>
          <w:lang w:val="uk-UA" w:eastAsia="uk-UA"/>
        </w:rPr>
        <w:t>являє собою боргові зобов'язання резидентів в особі державних органів та державних підприємс</w:t>
      </w:r>
      <w:r>
        <w:rPr>
          <w:rStyle w:val="FontStyle23"/>
          <w:lang w:val="uk-UA" w:eastAsia="uk-UA"/>
        </w:rPr>
        <w:t xml:space="preserve">тв і організацій, а також сукупність боргів приватних фірм, виконання яких гарантоване державою. Іншими словами, це взяті державою певні зобов'язання без документального оформлення </w:t>
      </w:r>
      <w:r>
        <w:rPr>
          <w:rStyle w:val="FontStyle23"/>
          <w:lang w:val="uk-UA" w:eastAsia="uk-UA"/>
        </w:rPr>
        <w:lastRenderedPageBreak/>
        <w:t>строків їх погашення, які формують заборгованість, що в складі офіційно виз</w:t>
      </w:r>
      <w:r>
        <w:rPr>
          <w:rStyle w:val="FontStyle23"/>
          <w:lang w:val="uk-UA" w:eastAsia="uk-UA"/>
        </w:rPr>
        <w:t>наної державної не враховується, проте є державною за внутрішньою природою та економічним змістом.</w:t>
      </w:r>
    </w:p>
    <w:p w:rsidR="00000000" w:rsidRDefault="004732DD">
      <w:pPr>
        <w:pStyle w:val="Style11"/>
        <w:widowControl/>
        <w:ind w:firstLine="350"/>
        <w:rPr>
          <w:rStyle w:val="FontStyle23"/>
          <w:lang w:val="uk-UA" w:eastAsia="uk-U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7E2B5E" wp14:editId="5C528A44">
            <wp:simplePos x="0" y="0"/>
            <wp:positionH relativeFrom="column">
              <wp:posOffset>72390</wp:posOffset>
            </wp:positionH>
            <wp:positionV relativeFrom="paragraph">
              <wp:posOffset>132715</wp:posOffset>
            </wp:positionV>
            <wp:extent cx="3848100" cy="5831205"/>
            <wp:effectExtent l="0" t="0" r="0" b="0"/>
            <wp:wrapTight wrapText="bothSides">
              <wp:wrapPolygon edited="0">
                <wp:start x="0" y="0"/>
                <wp:lineTo x="0" y="21522"/>
                <wp:lineTo x="21493" y="21522"/>
                <wp:lineTo x="214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2DD" w:rsidRDefault="004732DD">
      <w:pPr>
        <w:pStyle w:val="Style11"/>
        <w:widowControl/>
        <w:ind w:firstLine="350"/>
        <w:rPr>
          <w:rStyle w:val="FontStyle23"/>
          <w:lang w:val="uk-UA" w:eastAsia="uk-UA"/>
        </w:rPr>
        <w:sectPr w:rsidR="004732DD" w:rsidSect="00395FE4">
          <w:type w:val="continuous"/>
          <w:pgSz w:w="8390" w:h="11905"/>
          <w:pgMar w:top="709" w:right="1108" w:bottom="795" w:left="930" w:header="720" w:footer="720" w:gutter="0"/>
          <w:cols w:space="60"/>
          <w:noEndnote/>
        </w:sectPr>
      </w:pPr>
    </w:p>
    <w:p w:rsidR="00000000" w:rsidRPr="004732DD" w:rsidRDefault="005C0F4C" w:rsidP="004732DD">
      <w:pPr>
        <w:widowControl/>
        <w:spacing w:line="1" w:lineRule="exact"/>
        <w:rPr>
          <w:rStyle w:val="FontStyle23"/>
          <w:sz w:val="2"/>
          <w:szCs w:val="2"/>
          <w:lang w:val="uk-UA"/>
        </w:rPr>
        <w:sectPr w:rsidR="00000000" w:rsidRPr="004732DD">
          <w:pgSz w:w="8390" w:h="11905"/>
          <w:pgMar w:top="922" w:right="571" w:bottom="623" w:left="1291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10FB9FAA" wp14:editId="2028E9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963035" cy="6003925"/>
                <wp:effectExtent l="0" t="0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035" cy="600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60502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0;margin-top:0;width:312.05pt;height:472.75pt;z-index:251660288;visibility:visible;mso-wrap-style:non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" filled="f" stroked="f">
                <v:textbox style="mso-fit-shape-to-text:t" inset="0,0,0,0">
                  <w:txbxContent>
                    <w:p w:rsidR="00000000" w:rsidRDefault="00060502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060502">
      <w:pPr>
        <w:pStyle w:val="Style14"/>
        <w:widowControl/>
        <w:spacing w:before="43"/>
        <w:ind w:left="346"/>
        <w:rPr>
          <w:rStyle w:val="FontStyle22"/>
          <w:lang w:val="uk-UA" w:eastAsia="uk-UA"/>
        </w:rPr>
      </w:pPr>
      <w:r>
        <w:rPr>
          <w:rStyle w:val="FontStyle23"/>
          <w:lang w:val="uk-UA" w:eastAsia="uk-UA"/>
        </w:rPr>
        <w:lastRenderedPageBreak/>
        <w:t xml:space="preserve">Розрізняють також </w:t>
      </w:r>
      <w:r>
        <w:rPr>
          <w:rStyle w:val="FontStyle22"/>
          <w:lang w:val="uk-UA" w:eastAsia="uk-UA"/>
        </w:rPr>
        <w:t xml:space="preserve">поточний </w:t>
      </w:r>
      <w:r>
        <w:rPr>
          <w:rStyle w:val="FontStyle23"/>
          <w:lang w:val="uk-UA" w:eastAsia="uk-UA"/>
        </w:rPr>
        <w:t xml:space="preserve">та </w:t>
      </w:r>
      <w:r>
        <w:rPr>
          <w:rStyle w:val="FontStyle22"/>
          <w:lang w:val="uk-UA" w:eastAsia="uk-UA"/>
        </w:rPr>
        <w:t>капітальний борг.</w:t>
      </w:r>
    </w:p>
    <w:p w:rsidR="00000000" w:rsidRDefault="00060502">
      <w:pPr>
        <w:pStyle w:val="Style11"/>
        <w:widowControl/>
        <w:spacing w:before="29" w:line="230" w:lineRule="exact"/>
        <w:ind w:firstLine="326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Поточний борг </w:t>
      </w:r>
      <w:r>
        <w:rPr>
          <w:rStyle w:val="FontStyle23"/>
          <w:lang w:val="uk-UA" w:eastAsia="uk-UA"/>
        </w:rPr>
        <w:t>- це загальна сума заборгованості і відсотків за нею, що підлягає сплаті в поточному році.</w:t>
      </w:r>
    </w:p>
    <w:p w:rsidR="00000000" w:rsidRDefault="00060502">
      <w:pPr>
        <w:pStyle w:val="Style11"/>
        <w:widowControl/>
        <w:spacing w:before="29" w:line="230" w:lineRule="exact"/>
        <w:ind w:firstLine="331"/>
        <w:rPr>
          <w:rStyle w:val="FontStyle23"/>
          <w:lang w:val="uk-UA" w:eastAsia="uk-UA"/>
        </w:rPr>
      </w:pPr>
      <w:r>
        <w:rPr>
          <w:rStyle w:val="FontStyle22"/>
          <w:lang w:val="uk-UA" w:eastAsia="uk-UA"/>
        </w:rPr>
        <w:t xml:space="preserve">Капітальний борг </w:t>
      </w:r>
      <w:r>
        <w:rPr>
          <w:rStyle w:val="FontStyle23"/>
          <w:lang w:val="uk-UA" w:eastAsia="uk-UA"/>
        </w:rPr>
        <w:t>являє собою загальну суму</w:t>
      </w:r>
      <w:r>
        <w:rPr>
          <w:rStyle w:val="FontStyle23"/>
          <w:lang w:val="uk-UA" w:eastAsia="uk-UA"/>
        </w:rPr>
        <w:t xml:space="preserve"> заборгованості та відсоткових витрат, яка має бути сплачена за зобов'язаннями держави у певний термін.</w:t>
      </w:r>
    </w:p>
    <w:p w:rsidR="00000000" w:rsidRDefault="00060502">
      <w:pPr>
        <w:pStyle w:val="Style12"/>
        <w:widowControl/>
        <w:spacing w:line="240" w:lineRule="exact"/>
        <w:ind w:left="1186"/>
        <w:rPr>
          <w:sz w:val="20"/>
          <w:szCs w:val="20"/>
        </w:rPr>
      </w:pPr>
    </w:p>
    <w:p w:rsidR="00000000" w:rsidRPr="00395FE4" w:rsidRDefault="00060502" w:rsidP="00395FE4">
      <w:pPr>
        <w:pStyle w:val="Style12"/>
        <w:widowControl/>
        <w:spacing w:before="29"/>
        <w:ind w:left="284"/>
        <w:rPr>
          <w:rStyle w:val="FontStyle23"/>
          <w:b/>
          <w:lang w:val="uk-UA" w:eastAsia="uk-UA"/>
        </w:rPr>
      </w:pPr>
      <w:r w:rsidRPr="00395FE4">
        <w:rPr>
          <w:rStyle w:val="FontStyle23"/>
          <w:b/>
          <w:lang w:val="uk-UA" w:eastAsia="uk-UA"/>
        </w:rPr>
        <w:t>4. УПРАВЛІННЯ ДЕРЖАВНИМ БОРГОМ</w:t>
      </w:r>
    </w:p>
    <w:p w:rsidR="00000000" w:rsidRDefault="00060502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060502">
      <w:pPr>
        <w:pStyle w:val="Style11"/>
        <w:widowControl/>
        <w:spacing w:before="29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Управління державним боргом передбачає комплекс заходів, які здійснюють органи державної влади та управління щодо виз</w:t>
      </w:r>
      <w:r>
        <w:rPr>
          <w:rStyle w:val="FontStyle23"/>
          <w:lang w:val="uk-UA" w:eastAsia="uk-UA"/>
        </w:rPr>
        <w:t>начення умов залучення коштів, їх розміщення і погашення та забезпечення платоспроможності держави.</w:t>
      </w:r>
    </w:p>
    <w:p w:rsidR="00000000" w:rsidRDefault="00060502">
      <w:pPr>
        <w:pStyle w:val="Style11"/>
        <w:widowControl/>
        <w:spacing w:before="14"/>
        <w:ind w:firstLine="336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Мета </w:t>
      </w:r>
      <w:r>
        <w:rPr>
          <w:rStyle w:val="FontStyle22"/>
          <w:lang w:val="uk-UA" w:eastAsia="uk-UA"/>
        </w:rPr>
        <w:t xml:space="preserve">політики управління державним боргом </w:t>
      </w:r>
      <w:r>
        <w:rPr>
          <w:rStyle w:val="FontStyle23"/>
          <w:lang w:val="uk-UA" w:eastAsia="uk-UA"/>
        </w:rPr>
        <w:t xml:space="preserve">полягає в одержанні найвищого ефекту від фінансування за рахунок запозичених коштів та уникнення макроекономічних </w:t>
      </w:r>
      <w:r>
        <w:rPr>
          <w:rStyle w:val="FontStyle23"/>
          <w:lang w:val="uk-UA" w:eastAsia="uk-UA"/>
        </w:rPr>
        <w:t>проблем та проблем платіжного балансу.</w:t>
      </w:r>
    </w:p>
    <w:p w:rsidR="00000000" w:rsidRDefault="00060502">
      <w:pPr>
        <w:pStyle w:val="Style11"/>
        <w:widowControl/>
        <w:spacing w:before="14" w:line="245" w:lineRule="exact"/>
        <w:ind w:firstLine="341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Боргова політика держави має ґрунтуватись на таких принципах (рис. 8.2).</w:t>
      </w:r>
    </w:p>
    <w:p w:rsidR="00000000" w:rsidRDefault="00060502">
      <w:pPr>
        <w:pStyle w:val="Style11"/>
        <w:widowControl/>
        <w:spacing w:line="245" w:lineRule="exact"/>
        <w:ind w:left="350" w:firstLine="0"/>
        <w:jc w:val="left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Процес управління державним боргом містить такі етапи:</w:t>
      </w:r>
    </w:p>
    <w:p w:rsidR="00000000" w:rsidRDefault="00060502" w:rsidP="0028215D">
      <w:pPr>
        <w:pStyle w:val="Style9"/>
        <w:widowControl/>
        <w:numPr>
          <w:ilvl w:val="0"/>
          <w:numId w:val="4"/>
        </w:numPr>
        <w:tabs>
          <w:tab w:val="left" w:pos="211"/>
        </w:tabs>
        <w:spacing w:before="5" w:line="245" w:lineRule="exact"/>
        <w:ind w:firstLine="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залучення коштів;</w:t>
      </w:r>
    </w:p>
    <w:p w:rsidR="00000000" w:rsidRDefault="00060502" w:rsidP="0028215D">
      <w:pPr>
        <w:pStyle w:val="Style9"/>
        <w:widowControl/>
        <w:numPr>
          <w:ilvl w:val="0"/>
          <w:numId w:val="4"/>
        </w:numPr>
        <w:tabs>
          <w:tab w:val="left" w:pos="211"/>
        </w:tabs>
        <w:spacing w:line="245" w:lineRule="exact"/>
        <w:ind w:firstLine="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використання коштів;</w:t>
      </w:r>
    </w:p>
    <w:p w:rsidR="00000000" w:rsidRDefault="00060502" w:rsidP="0028215D">
      <w:pPr>
        <w:pStyle w:val="Style9"/>
        <w:widowControl/>
        <w:numPr>
          <w:ilvl w:val="0"/>
          <w:numId w:val="4"/>
        </w:numPr>
        <w:tabs>
          <w:tab w:val="left" w:pos="211"/>
        </w:tabs>
        <w:spacing w:line="245" w:lineRule="exact"/>
        <w:ind w:firstLine="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повернення боргу і погашення відсотків</w:t>
      </w:r>
      <w:r>
        <w:rPr>
          <w:rStyle w:val="FontStyle23"/>
          <w:lang w:val="uk-UA" w:eastAsia="uk-UA"/>
        </w:rPr>
        <w:t>.</w:t>
      </w:r>
    </w:p>
    <w:p w:rsidR="00000000" w:rsidRDefault="00060502">
      <w:pPr>
        <w:pStyle w:val="Style11"/>
        <w:widowControl/>
        <w:spacing w:before="14" w:line="240" w:lineRule="exact"/>
        <w:ind w:firstLine="341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Теорія та практика визначає такі методи управління державним боргом:</w:t>
      </w:r>
    </w:p>
    <w:p w:rsidR="00000000" w:rsidRDefault="00060502" w:rsidP="0028215D">
      <w:pPr>
        <w:pStyle w:val="Style9"/>
        <w:widowControl/>
        <w:numPr>
          <w:ilvl w:val="0"/>
          <w:numId w:val="4"/>
        </w:numPr>
        <w:tabs>
          <w:tab w:val="left" w:pos="211"/>
        </w:tabs>
        <w:spacing w:before="14"/>
        <w:ind w:left="211"/>
        <w:jc w:val="both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рефінансування боргу </w:t>
      </w:r>
      <w:r>
        <w:rPr>
          <w:rStyle w:val="FontStyle23"/>
          <w:lang w:val="uk-UA" w:eastAsia="uk-UA"/>
        </w:rPr>
        <w:t>- погашення основної заборгованості й процентів за рахунок коштів, отриманих від розміщення нових позик;</w:t>
      </w:r>
    </w:p>
    <w:p w:rsidR="00000000" w:rsidRDefault="00060502" w:rsidP="0028215D">
      <w:pPr>
        <w:pStyle w:val="Style9"/>
        <w:widowControl/>
        <w:numPr>
          <w:ilvl w:val="0"/>
          <w:numId w:val="4"/>
        </w:numPr>
        <w:tabs>
          <w:tab w:val="left" w:pos="211"/>
        </w:tabs>
        <w:spacing w:before="14"/>
        <w:ind w:left="211"/>
        <w:jc w:val="both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реструктуризація заборгованості </w:t>
      </w:r>
      <w:r>
        <w:rPr>
          <w:rStyle w:val="FontStyle23"/>
          <w:lang w:val="uk-UA" w:eastAsia="uk-UA"/>
        </w:rPr>
        <w:t>- передбачає відстр</w:t>
      </w:r>
      <w:r>
        <w:rPr>
          <w:rStyle w:val="FontStyle23"/>
          <w:lang w:val="uk-UA" w:eastAsia="uk-UA"/>
        </w:rPr>
        <w:t>очення виплати частки боргу на певних умовах;</w:t>
      </w:r>
    </w:p>
    <w:p w:rsidR="00000000" w:rsidRDefault="00060502" w:rsidP="0028215D">
      <w:pPr>
        <w:pStyle w:val="Style9"/>
        <w:widowControl/>
        <w:numPr>
          <w:ilvl w:val="0"/>
          <w:numId w:val="4"/>
        </w:numPr>
        <w:tabs>
          <w:tab w:val="left" w:pos="211"/>
        </w:tabs>
        <w:spacing w:before="10"/>
        <w:ind w:firstLine="0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конверсія </w:t>
      </w:r>
      <w:r>
        <w:rPr>
          <w:rStyle w:val="FontStyle23"/>
          <w:lang w:val="uk-UA" w:eastAsia="uk-UA"/>
        </w:rPr>
        <w:t>— це зміна дохідності позики;</w:t>
      </w:r>
    </w:p>
    <w:p w:rsidR="00000000" w:rsidRDefault="00060502" w:rsidP="0028215D">
      <w:pPr>
        <w:pStyle w:val="Style9"/>
        <w:widowControl/>
        <w:numPr>
          <w:ilvl w:val="0"/>
          <w:numId w:val="4"/>
        </w:numPr>
        <w:tabs>
          <w:tab w:val="left" w:pos="211"/>
        </w:tabs>
        <w:spacing w:before="10"/>
        <w:ind w:firstLine="0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консолідація </w:t>
      </w:r>
      <w:r>
        <w:rPr>
          <w:rStyle w:val="FontStyle23"/>
          <w:lang w:val="uk-UA" w:eastAsia="uk-UA"/>
        </w:rPr>
        <w:t>- збільшення строків дії випущеної позики;</w:t>
      </w:r>
    </w:p>
    <w:p w:rsidR="00000000" w:rsidRDefault="00060502" w:rsidP="0028215D">
      <w:pPr>
        <w:pStyle w:val="Style9"/>
        <w:widowControl/>
        <w:numPr>
          <w:ilvl w:val="0"/>
          <w:numId w:val="4"/>
        </w:numPr>
        <w:tabs>
          <w:tab w:val="left" w:pos="211"/>
        </w:tabs>
        <w:spacing w:before="14"/>
        <w:ind w:left="211"/>
        <w:jc w:val="both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уніфікація позик </w:t>
      </w:r>
      <w:r>
        <w:rPr>
          <w:rStyle w:val="FontStyle23"/>
          <w:lang w:val="uk-UA" w:eastAsia="uk-UA"/>
        </w:rPr>
        <w:t>має на меті об'єднання кількох позик в одну (наприклад, коли облігації раніше випущен</w:t>
      </w:r>
      <w:r>
        <w:rPr>
          <w:rStyle w:val="FontStyle23"/>
          <w:lang w:val="uk-UA" w:eastAsia="uk-UA"/>
        </w:rPr>
        <w:t>их кількох позик обмінюються на облігації нової позики);</w:t>
      </w:r>
    </w:p>
    <w:p w:rsidR="00000000" w:rsidRDefault="00060502" w:rsidP="0028215D">
      <w:pPr>
        <w:pStyle w:val="Style9"/>
        <w:widowControl/>
        <w:numPr>
          <w:ilvl w:val="0"/>
          <w:numId w:val="4"/>
        </w:numPr>
        <w:tabs>
          <w:tab w:val="left" w:pos="211"/>
        </w:tabs>
        <w:spacing w:before="14"/>
        <w:ind w:left="211"/>
        <w:jc w:val="both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відстрочення погашення позики </w:t>
      </w:r>
      <w:r>
        <w:rPr>
          <w:rStyle w:val="FontStyle23"/>
          <w:lang w:val="uk-UA" w:eastAsia="uk-UA"/>
        </w:rPr>
        <w:t>- перенесення термінів погашення заборгованості;</w:t>
      </w:r>
    </w:p>
    <w:p w:rsidR="00000000" w:rsidRDefault="00060502" w:rsidP="0028215D">
      <w:pPr>
        <w:pStyle w:val="Style13"/>
        <w:widowControl/>
        <w:numPr>
          <w:ilvl w:val="0"/>
          <w:numId w:val="4"/>
        </w:numPr>
        <w:tabs>
          <w:tab w:val="left" w:pos="211"/>
        </w:tabs>
        <w:spacing w:before="10" w:line="240" w:lineRule="exact"/>
        <w:jc w:val="both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анулювання  (</w:t>
      </w:r>
      <w:proofErr w:type="spellStart"/>
      <w:r>
        <w:rPr>
          <w:rStyle w:val="FontStyle22"/>
          <w:lang w:val="uk-UA" w:eastAsia="uk-UA"/>
        </w:rPr>
        <w:t>де-</w:t>
      </w:r>
      <w:r w:rsidR="00395FE4">
        <w:rPr>
          <w:rStyle w:val="FontStyle22"/>
          <w:lang w:val="uk-UA" w:eastAsia="uk-UA"/>
        </w:rPr>
        <w:t>ф</w:t>
      </w:r>
      <w:r>
        <w:rPr>
          <w:rStyle w:val="FontStyle22"/>
          <w:lang w:val="uk-UA" w:eastAsia="uk-UA"/>
        </w:rPr>
        <w:t>олт</w:t>
      </w:r>
      <w:proofErr w:type="spellEnd"/>
      <w:r>
        <w:rPr>
          <w:rStyle w:val="FontStyle22"/>
          <w:lang w:val="uk-UA" w:eastAsia="uk-UA"/>
        </w:rPr>
        <w:t xml:space="preserve">)  боргу </w:t>
      </w:r>
      <w:r>
        <w:rPr>
          <w:rStyle w:val="FontStyle23"/>
          <w:lang w:val="uk-UA" w:eastAsia="uk-UA"/>
        </w:rPr>
        <w:t>означає відмову уряду від його</w:t>
      </w:r>
    </w:p>
    <w:p w:rsidR="00000000" w:rsidRDefault="005C0F4C">
      <w:pPr>
        <w:widowControl/>
      </w:pPr>
      <w:r>
        <w:rPr>
          <w:noProof/>
        </w:rPr>
        <w:lastRenderedPageBreak/>
        <w:drawing>
          <wp:inline distT="0" distB="0" distL="0" distR="0">
            <wp:extent cx="4133215" cy="509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60502">
      <w:pPr>
        <w:pStyle w:val="Style11"/>
        <w:widowControl/>
        <w:spacing w:before="178"/>
        <w:ind w:firstLine="355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Управління як зовнішнім, так і внутрішнім боргом охоплює також комплекс заходів щодо його обслуговування.</w:t>
      </w:r>
    </w:p>
    <w:p w:rsidR="00000000" w:rsidRDefault="00060502">
      <w:pPr>
        <w:pStyle w:val="Style11"/>
        <w:widowControl/>
        <w:ind w:firstLine="374"/>
        <w:rPr>
          <w:rStyle w:val="FontStyle23"/>
          <w:lang w:val="uk-UA" w:eastAsia="uk-UA"/>
        </w:rPr>
      </w:pPr>
      <w:r>
        <w:rPr>
          <w:rStyle w:val="FontStyle25"/>
          <w:lang w:val="uk-UA" w:eastAsia="uk-UA"/>
        </w:rPr>
        <w:t xml:space="preserve">Обслуговування державного боргу </w:t>
      </w:r>
      <w:r>
        <w:rPr>
          <w:rStyle w:val="FontStyle23"/>
          <w:lang w:val="uk-UA" w:eastAsia="uk-UA"/>
        </w:rPr>
        <w:t>передбачає погашення позик, виплату процентів за ними, уточнення і зміни умов пога</w:t>
      </w:r>
      <w:r>
        <w:rPr>
          <w:rStyle w:val="FontStyle23"/>
          <w:lang w:val="uk-UA" w:eastAsia="uk-UA"/>
        </w:rPr>
        <w:t>шення випущених позик.</w:t>
      </w:r>
    </w:p>
    <w:p w:rsidR="00000000" w:rsidRDefault="00060502">
      <w:pPr>
        <w:pStyle w:val="Style11"/>
        <w:widowControl/>
        <w:spacing w:before="5"/>
        <w:ind w:firstLine="365"/>
        <w:rPr>
          <w:rStyle w:val="FontStyle23"/>
          <w:lang w:eastAsia="uk-UA"/>
        </w:rPr>
      </w:pPr>
      <w:r>
        <w:rPr>
          <w:rStyle w:val="FontStyle23"/>
          <w:lang w:val="uk-UA" w:eastAsia="uk-UA"/>
        </w:rPr>
        <w:t xml:space="preserve">При обслуговуванні зовнішнього і внутрішнього боргів визначають </w:t>
      </w:r>
      <w:r>
        <w:rPr>
          <w:rStyle w:val="FontStyle22"/>
          <w:lang w:val="uk-UA" w:eastAsia="uk-UA"/>
        </w:rPr>
        <w:t xml:space="preserve">коефіцієнт обслуговування. </w:t>
      </w:r>
      <w:r>
        <w:rPr>
          <w:rStyle w:val="FontStyle23"/>
          <w:lang w:val="uk-UA" w:eastAsia="uk-UA"/>
        </w:rPr>
        <w:t xml:space="preserve">Для зовнішнього боргу його розраховують як відношення всіх платежів із зовнішньої заборгованості до валютних надходжень </w:t>
      </w:r>
      <w:r>
        <w:rPr>
          <w:rStyle w:val="FontStyle23"/>
          <w:lang w:val="uk-UA" w:eastAsia="uk-UA"/>
        </w:rPr>
        <w:lastRenderedPageBreak/>
        <w:t>держави, виражене в пр</w:t>
      </w:r>
      <w:r>
        <w:rPr>
          <w:rStyle w:val="FontStyle23"/>
          <w:lang w:val="uk-UA" w:eastAsia="uk-UA"/>
        </w:rPr>
        <w:t xml:space="preserve">оцентах. Прийнято, що коефіцієнт обслуговування не повинен перевищувати </w:t>
      </w:r>
      <w:r>
        <w:rPr>
          <w:rStyle w:val="FontStyle23"/>
          <w:lang w:eastAsia="uk-UA"/>
        </w:rPr>
        <w:t>25%.</w:t>
      </w:r>
    </w:p>
    <w:p w:rsidR="00000000" w:rsidRDefault="00060502">
      <w:pPr>
        <w:pStyle w:val="Style11"/>
        <w:widowControl/>
        <w:spacing w:before="1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Обслуговування державного боргу здійснюється в процесі виконання державного бюджету.</w:t>
      </w:r>
    </w:p>
    <w:p w:rsidR="00000000" w:rsidRDefault="00060502">
      <w:pPr>
        <w:pStyle w:val="Style11"/>
        <w:widowControl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Витрати на обслуговування та погашення державного боргу здійснюються Міністерством фінансів Ук</w:t>
      </w:r>
      <w:r>
        <w:rPr>
          <w:rStyle w:val="FontStyle23"/>
          <w:lang w:val="uk-UA" w:eastAsia="uk-UA"/>
        </w:rPr>
        <w:t>раїни відповідно до кредитних договорів, а також нормативно-правових актів, за якими виникають державні боргові зобов'язання, незалежно від обсягу коштів, визначеного на таку мету законом про Державний бюджет України.</w:t>
      </w:r>
    </w:p>
    <w:p w:rsidR="00000000" w:rsidRDefault="00060502">
      <w:pPr>
        <w:pStyle w:val="Style11"/>
        <w:widowControl/>
        <w:spacing w:before="5"/>
        <w:ind w:firstLine="36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Якщо очікуваний обсяг витрат на обслуг</w:t>
      </w:r>
      <w:r>
        <w:rPr>
          <w:rStyle w:val="FontStyle23"/>
          <w:lang w:val="uk-UA" w:eastAsia="uk-UA"/>
        </w:rPr>
        <w:t>овування та погашення державного боргу перевищить обсяг коштів, визначений законом про Державний бюджет України на таку мету, Міністерство фінансів України невідкладно інформує про це Кабінет Міністрів України.</w:t>
      </w:r>
    </w:p>
    <w:p w:rsidR="00000000" w:rsidRDefault="00060502">
      <w:pPr>
        <w:pStyle w:val="Style11"/>
        <w:widowControl/>
        <w:ind w:firstLine="37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Кабінет Міністрів України у свою чергу інформ</w:t>
      </w:r>
      <w:r>
        <w:rPr>
          <w:rStyle w:val="FontStyle23"/>
          <w:lang w:val="uk-UA" w:eastAsia="uk-UA"/>
        </w:rPr>
        <w:t>ує про це Верховну Раду України та подає у двотижневий строк пропозиції про внесення змін до закону про Державний бюджет України.</w:t>
      </w:r>
    </w:p>
    <w:p w:rsidR="00000000" w:rsidRDefault="00060502">
      <w:pPr>
        <w:pStyle w:val="Style11"/>
        <w:widowControl/>
        <w:ind w:firstLine="374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З метою економії бюджетних коштів Міністерство фінансів України має право здійснювати правочини з державним боргом, включаючи </w:t>
      </w:r>
      <w:r>
        <w:rPr>
          <w:rStyle w:val="FontStyle23"/>
          <w:lang w:val="uk-UA" w:eastAsia="uk-UA"/>
        </w:rPr>
        <w:t>обмін, випуск, купівлю, викуп та продаж державних боргових зобов'язань, за умови дотримання граничного обсягу державного боргу на кінець бюджетного періоду.</w:t>
      </w:r>
    </w:p>
    <w:p w:rsidR="00000000" w:rsidRDefault="00060502">
      <w:pPr>
        <w:pStyle w:val="Style11"/>
        <w:widowControl/>
        <w:ind w:firstLine="374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Граничний обсяг державного боргу, граничний обсяг надання державних гарантій визначаються на кожний</w:t>
      </w:r>
      <w:r>
        <w:rPr>
          <w:rStyle w:val="FontStyle23"/>
          <w:lang w:val="uk-UA" w:eastAsia="uk-UA"/>
        </w:rPr>
        <w:t xml:space="preserve"> бюджетний період законом про Державний бюджет України.</w:t>
      </w:r>
    </w:p>
    <w:p w:rsidR="00000000" w:rsidRDefault="00060502">
      <w:pPr>
        <w:pStyle w:val="Style11"/>
        <w:widowControl/>
        <w:ind w:firstLine="36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Загальний обсяг державного боргу та гарантованого державою боргу на кінець бюджетного періоду не може перевищувати </w:t>
      </w:r>
      <w:r>
        <w:rPr>
          <w:rStyle w:val="FontStyle23"/>
          <w:lang w:eastAsia="uk-UA"/>
        </w:rPr>
        <w:t xml:space="preserve">60 % </w:t>
      </w:r>
      <w:r>
        <w:rPr>
          <w:rStyle w:val="FontStyle23"/>
          <w:lang w:val="uk-UA" w:eastAsia="uk-UA"/>
        </w:rPr>
        <w:t>річного номінального обсягу валового внутрішнього продукту України.</w:t>
      </w:r>
    </w:p>
    <w:p w:rsidR="0028215D" w:rsidRDefault="00060502">
      <w:pPr>
        <w:pStyle w:val="Style11"/>
        <w:widowControl/>
        <w:ind w:firstLine="370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У разі перев</w:t>
      </w:r>
      <w:r>
        <w:rPr>
          <w:rStyle w:val="FontStyle23"/>
          <w:lang w:val="uk-UA" w:eastAsia="uk-UA"/>
        </w:rPr>
        <w:t>ищення цієї граничної величини Кабінет Міністрів України зобов'язаний вжити заходів для приведення такого загального обсягу боргів у відповідність.</w:t>
      </w:r>
    </w:p>
    <w:sectPr w:rsidR="0028215D">
      <w:type w:val="continuous"/>
      <w:pgSz w:w="8390" w:h="11905"/>
      <w:pgMar w:top="1221" w:right="1130" w:bottom="684" w:left="9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02" w:rsidRDefault="00060502">
      <w:r>
        <w:separator/>
      </w:r>
    </w:p>
  </w:endnote>
  <w:endnote w:type="continuationSeparator" w:id="0">
    <w:p w:rsidR="00060502" w:rsidRDefault="0006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02" w:rsidRDefault="00060502">
      <w:r>
        <w:separator/>
      </w:r>
    </w:p>
  </w:footnote>
  <w:footnote w:type="continuationSeparator" w:id="0">
    <w:p w:rsidR="00060502" w:rsidRDefault="0006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BEB09A"/>
    <w:lvl w:ilvl="0">
      <w:numFmt w:val="bullet"/>
      <w:lvlText w:val="*"/>
      <w:lvlJc w:val="left"/>
    </w:lvl>
  </w:abstractNum>
  <w:abstractNum w:abstractNumId="1">
    <w:nsid w:val="2FC71D78"/>
    <w:multiLevelType w:val="singleLevel"/>
    <w:tmpl w:val="0234FCF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eastAsiaTheme="minorEastAsia" w:hAnsi="Times New Roman" w:cs="Times New Roman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5D"/>
    <w:rsid w:val="00060502"/>
    <w:rsid w:val="0028215D"/>
    <w:rsid w:val="00395FE4"/>
    <w:rsid w:val="004732DD"/>
    <w:rsid w:val="004F5D4F"/>
    <w:rsid w:val="005C0F4C"/>
    <w:rsid w:val="00B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06" w:lineRule="exact"/>
      <w:jc w:val="center"/>
    </w:pPr>
  </w:style>
  <w:style w:type="paragraph" w:customStyle="1" w:styleId="Style4">
    <w:name w:val="Style4"/>
    <w:basedOn w:val="a"/>
    <w:uiPriority w:val="99"/>
    <w:pPr>
      <w:spacing w:line="206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35" w:lineRule="exact"/>
      <w:ind w:hanging="672"/>
    </w:pPr>
  </w:style>
  <w:style w:type="paragraph" w:customStyle="1" w:styleId="Style9">
    <w:name w:val="Style9"/>
    <w:basedOn w:val="a"/>
    <w:uiPriority w:val="99"/>
    <w:pPr>
      <w:spacing w:line="240" w:lineRule="exact"/>
      <w:ind w:hanging="211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5" w:lineRule="exact"/>
      <w:ind w:firstLine="346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38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87" w:lineRule="exact"/>
    </w:pPr>
  </w:style>
  <w:style w:type="paragraph" w:customStyle="1" w:styleId="Style16">
    <w:name w:val="Style16"/>
    <w:basedOn w:val="a"/>
    <w:uiPriority w:val="99"/>
    <w:pPr>
      <w:spacing w:line="237" w:lineRule="exact"/>
      <w:ind w:firstLine="144"/>
    </w:pPr>
  </w:style>
  <w:style w:type="paragraph" w:customStyle="1" w:styleId="Style17">
    <w:name w:val="Style17"/>
    <w:basedOn w:val="a"/>
    <w:uiPriority w:val="99"/>
    <w:pPr>
      <w:spacing w:line="182" w:lineRule="exact"/>
      <w:jc w:val="center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38" w:lineRule="exact"/>
      <w:ind w:firstLine="365"/>
    </w:pPr>
  </w:style>
  <w:style w:type="paragraph" w:customStyle="1" w:styleId="Style20">
    <w:name w:val="Style20"/>
    <w:basedOn w:val="a"/>
    <w:uiPriority w:val="99"/>
    <w:pPr>
      <w:spacing w:line="187" w:lineRule="exact"/>
      <w:jc w:val="both"/>
    </w:p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Constantia" w:hAnsi="Constantia" w:cs="Constantia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73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11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06" w:lineRule="exact"/>
      <w:jc w:val="center"/>
    </w:pPr>
  </w:style>
  <w:style w:type="paragraph" w:customStyle="1" w:styleId="Style4">
    <w:name w:val="Style4"/>
    <w:basedOn w:val="a"/>
    <w:uiPriority w:val="99"/>
    <w:pPr>
      <w:spacing w:line="206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35" w:lineRule="exact"/>
      <w:ind w:hanging="672"/>
    </w:pPr>
  </w:style>
  <w:style w:type="paragraph" w:customStyle="1" w:styleId="Style9">
    <w:name w:val="Style9"/>
    <w:basedOn w:val="a"/>
    <w:uiPriority w:val="99"/>
    <w:pPr>
      <w:spacing w:line="240" w:lineRule="exact"/>
      <w:ind w:hanging="211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5" w:lineRule="exact"/>
      <w:ind w:firstLine="346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38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87" w:lineRule="exact"/>
    </w:pPr>
  </w:style>
  <w:style w:type="paragraph" w:customStyle="1" w:styleId="Style16">
    <w:name w:val="Style16"/>
    <w:basedOn w:val="a"/>
    <w:uiPriority w:val="99"/>
    <w:pPr>
      <w:spacing w:line="237" w:lineRule="exact"/>
      <w:ind w:firstLine="144"/>
    </w:pPr>
  </w:style>
  <w:style w:type="paragraph" w:customStyle="1" w:styleId="Style17">
    <w:name w:val="Style17"/>
    <w:basedOn w:val="a"/>
    <w:uiPriority w:val="99"/>
    <w:pPr>
      <w:spacing w:line="182" w:lineRule="exact"/>
      <w:jc w:val="center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38" w:lineRule="exact"/>
      <w:ind w:firstLine="365"/>
    </w:pPr>
  </w:style>
  <w:style w:type="paragraph" w:customStyle="1" w:styleId="Style20">
    <w:name w:val="Style20"/>
    <w:basedOn w:val="a"/>
    <w:uiPriority w:val="99"/>
    <w:pPr>
      <w:spacing w:line="187" w:lineRule="exact"/>
      <w:jc w:val="both"/>
    </w:p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5">
    <w:name w:val="Font Style25"/>
    <w:basedOn w:val="a0"/>
    <w:uiPriority w:val="99"/>
    <w:rPr>
      <w:rFonts w:ascii="Constantia" w:hAnsi="Constantia" w:cs="Constantia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73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2</cp:revision>
  <dcterms:created xsi:type="dcterms:W3CDTF">2015-02-16T09:23:00Z</dcterms:created>
  <dcterms:modified xsi:type="dcterms:W3CDTF">2015-02-16T09:23:00Z</dcterms:modified>
</cp:coreProperties>
</file>